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06A26">
      <w:pPr>
        <w:adjustRightInd/>
        <w:snapToGrid/>
        <w:spacing w:line="888" w:lineRule="exact"/>
        <w:ind w:left="-160" w:leftChars="-50" w:right="-160" w:rightChars="-50" w:firstLine="0" w:firstLineChars="0"/>
        <w:jc w:val="center"/>
        <w:rPr>
          <w:rFonts w:ascii="Times New Roman" w:hAnsi="Times New Roman" w:eastAsia="方正小标宋简体" w:cs="Times New Roman"/>
          <w:kern w:val="2"/>
          <w:sz w:val="60"/>
          <w:szCs w:val="60"/>
        </w:rPr>
      </w:pPr>
    </w:p>
    <w:p w14:paraId="5E65161C">
      <w:pPr>
        <w:pStyle w:val="11"/>
        <w:overflowPunct w:val="0"/>
        <w:rPr>
          <w:rFonts w:ascii="Times New Roman" w:hAnsi="Times New Roman"/>
        </w:rPr>
      </w:pPr>
    </w:p>
    <w:p w14:paraId="670E15FF">
      <w:pPr>
        <w:pStyle w:val="11"/>
        <w:overflowPunct w:val="0"/>
        <w:rPr>
          <w:rFonts w:ascii="Times New Roman" w:hAnsi="Times New Roman"/>
        </w:rPr>
      </w:pPr>
    </w:p>
    <w:p w14:paraId="226ED212">
      <w:pPr>
        <w:adjustRightInd/>
        <w:snapToGrid/>
        <w:spacing w:line="888" w:lineRule="exact"/>
        <w:ind w:left="-160" w:leftChars="-50" w:right="-160" w:rightChars="-50" w:firstLine="0" w:firstLineChars="0"/>
        <w:jc w:val="center"/>
        <w:rPr>
          <w:rFonts w:ascii="Times New Roman" w:hAnsi="Times New Roman" w:eastAsia="方正小标宋简体" w:cs="Times New Roman"/>
          <w:kern w:val="2"/>
          <w:sz w:val="60"/>
          <w:szCs w:val="60"/>
        </w:rPr>
      </w:pPr>
      <w:r>
        <w:rPr>
          <w:rFonts w:hint="eastAsia" w:ascii="Times New Roman" w:hAnsi="Times New Roman" w:eastAsia="方正小标宋简体" w:cs="Times New Roman"/>
          <w:kern w:val="2"/>
          <w:sz w:val="60"/>
          <w:szCs w:val="60"/>
        </w:rPr>
        <w:t>济南市槐荫区国民经济和社会发展</w:t>
      </w:r>
    </w:p>
    <w:p w14:paraId="107DCEBD">
      <w:pPr>
        <w:adjustRightInd/>
        <w:snapToGrid/>
        <w:spacing w:line="888" w:lineRule="exact"/>
        <w:ind w:left="-160" w:leftChars="-50" w:right="-160" w:rightChars="-50" w:firstLine="0" w:firstLineChars="0"/>
        <w:jc w:val="center"/>
        <w:rPr>
          <w:rFonts w:ascii="Times New Roman" w:hAnsi="Times New Roman" w:eastAsia="方正小标宋简体" w:cs="Times New Roman"/>
          <w:kern w:val="2"/>
          <w:sz w:val="60"/>
          <w:szCs w:val="60"/>
        </w:rPr>
      </w:pPr>
      <w:r>
        <w:rPr>
          <w:rFonts w:hint="eastAsia" w:ascii="Times New Roman" w:hAnsi="Times New Roman" w:eastAsia="方正小标宋简体" w:cs="Times New Roman"/>
          <w:kern w:val="2"/>
          <w:sz w:val="60"/>
          <w:szCs w:val="60"/>
        </w:rPr>
        <w:t>第十五个五年规划纲要（草案）</w:t>
      </w:r>
    </w:p>
    <w:p w14:paraId="4570E61A">
      <w:pPr>
        <w:adjustRightInd/>
        <w:snapToGrid/>
        <w:spacing w:line="888" w:lineRule="exact"/>
        <w:ind w:left="-160" w:leftChars="-50" w:right="-160" w:rightChars="-50" w:firstLine="0" w:firstLineChars="0"/>
        <w:jc w:val="center"/>
        <w:rPr>
          <w:rFonts w:ascii="Times New Roman" w:hAnsi="Times New Roman" w:eastAsia="楷体_GB2312" w:cs="楷体_GB2312"/>
          <w:sz w:val="44"/>
          <w:szCs w:val="44"/>
        </w:rPr>
      </w:pPr>
      <w:r>
        <w:rPr>
          <w:rFonts w:hint="eastAsia" w:ascii="Times New Roman" w:hAnsi="Times New Roman" w:eastAsia="楷体_GB2312" w:cs="楷体_GB2312"/>
          <w:sz w:val="44"/>
          <w:szCs w:val="44"/>
        </w:rPr>
        <w:t>（征求意见稿）</w:t>
      </w:r>
    </w:p>
    <w:p w14:paraId="17384B30">
      <w:pPr>
        <w:pStyle w:val="11"/>
        <w:overflowPunct w:val="0"/>
        <w:rPr>
          <w:rFonts w:ascii="Times New Roman" w:hAnsi="Times New Roman"/>
        </w:rPr>
      </w:pPr>
    </w:p>
    <w:p w14:paraId="65A93ECF">
      <w:pPr>
        <w:pStyle w:val="11"/>
        <w:overflowPunct w:val="0"/>
        <w:rPr>
          <w:rFonts w:ascii="Times New Roman" w:hAnsi="Times New Roman"/>
        </w:rPr>
      </w:pPr>
    </w:p>
    <w:p w14:paraId="28DB8B41">
      <w:pPr>
        <w:pStyle w:val="11"/>
        <w:overflowPunct w:val="0"/>
        <w:rPr>
          <w:rFonts w:ascii="Times New Roman" w:hAnsi="Times New Roman"/>
        </w:rPr>
      </w:pPr>
    </w:p>
    <w:p w14:paraId="097A005A">
      <w:pPr>
        <w:pStyle w:val="11"/>
        <w:overflowPunct w:val="0"/>
        <w:rPr>
          <w:rFonts w:ascii="Times New Roman" w:hAnsi="Times New Roman"/>
        </w:rPr>
      </w:pPr>
    </w:p>
    <w:p w14:paraId="286C37F7">
      <w:pPr>
        <w:pStyle w:val="11"/>
        <w:overflowPunct w:val="0"/>
        <w:rPr>
          <w:rFonts w:ascii="Times New Roman" w:hAnsi="Times New Roman"/>
        </w:rPr>
      </w:pPr>
    </w:p>
    <w:p w14:paraId="5AABCC34">
      <w:pPr>
        <w:pStyle w:val="11"/>
        <w:overflowPunct w:val="0"/>
        <w:rPr>
          <w:rFonts w:ascii="Times New Roman" w:hAnsi="Times New Roman"/>
        </w:rPr>
      </w:pPr>
    </w:p>
    <w:p w14:paraId="0BC5E00E">
      <w:pPr>
        <w:pStyle w:val="11"/>
        <w:overflowPunct w:val="0"/>
        <w:rPr>
          <w:rFonts w:ascii="Times New Roman" w:hAnsi="Times New Roman"/>
        </w:rPr>
      </w:pPr>
    </w:p>
    <w:p w14:paraId="4131218C">
      <w:pPr>
        <w:pStyle w:val="11"/>
        <w:overflowPunct w:val="0"/>
        <w:rPr>
          <w:rFonts w:ascii="Times New Roman" w:hAnsi="Times New Roman"/>
        </w:rPr>
      </w:pPr>
    </w:p>
    <w:p w14:paraId="14E0D500">
      <w:pPr>
        <w:pStyle w:val="11"/>
        <w:overflowPunct w:val="0"/>
        <w:rPr>
          <w:rFonts w:ascii="Times New Roman" w:hAnsi="Times New Roman"/>
        </w:rPr>
      </w:pPr>
    </w:p>
    <w:p w14:paraId="10580C03">
      <w:pPr>
        <w:pStyle w:val="11"/>
        <w:overflowPunct w:val="0"/>
        <w:rPr>
          <w:rFonts w:ascii="Times New Roman" w:hAnsi="Times New Roman"/>
        </w:rPr>
      </w:pPr>
    </w:p>
    <w:p w14:paraId="1CD18C9C">
      <w:pPr>
        <w:pStyle w:val="11"/>
        <w:overflowPunct w:val="0"/>
        <w:rPr>
          <w:rFonts w:ascii="Times New Roman" w:hAnsi="Times New Roman"/>
        </w:rPr>
      </w:pPr>
    </w:p>
    <w:p w14:paraId="2E0BF505">
      <w:pPr>
        <w:pStyle w:val="11"/>
        <w:overflowPunct w:val="0"/>
        <w:rPr>
          <w:rFonts w:ascii="Times New Roman" w:hAnsi="Times New Roman"/>
        </w:rPr>
      </w:pPr>
    </w:p>
    <w:p w14:paraId="1BC38B13">
      <w:pPr>
        <w:spacing w:line="592" w:lineRule="exact"/>
        <w:ind w:firstLine="0" w:firstLineChars="0"/>
        <w:jc w:val="center"/>
        <w:rPr>
          <w:rFonts w:ascii="Times New Roman" w:hAnsi="Times New Roman" w:eastAsia="楷体_GB2312" w:cs="楷体_GB2312"/>
          <w:sz w:val="44"/>
          <w:szCs w:val="44"/>
        </w:rPr>
      </w:pPr>
      <w:r>
        <w:rPr>
          <w:rFonts w:hint="eastAsia" w:ascii="Times New Roman" w:hAnsi="Times New Roman" w:eastAsia="楷体_GB2312" w:cs="楷体_GB2312"/>
          <w:sz w:val="44"/>
          <w:szCs w:val="44"/>
        </w:rPr>
        <w:t>2026年1月</w:t>
      </w:r>
    </w:p>
    <w:p w14:paraId="37BB0B9B">
      <w:pPr>
        <w:ind w:firstLine="640"/>
        <w:rPr>
          <w:rFonts w:ascii="Times New Roman" w:hAnsi="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start="1"/>
          <w:cols w:space="425" w:num="1"/>
          <w:docGrid w:type="lines" w:linePitch="312" w:charSpace="0"/>
        </w:sectPr>
      </w:pPr>
    </w:p>
    <w:p w14:paraId="1DB8F986">
      <w:pPr>
        <w:adjustRightInd/>
        <w:snapToGrid/>
        <w:spacing w:before="312" w:beforeLines="100" w:after="312" w:afterLines="100"/>
        <w:ind w:firstLine="0" w:firstLineChars="0"/>
        <w:jc w:val="center"/>
        <w:rPr>
          <w:rFonts w:ascii="Times New Roman" w:hAnsi="Times New Roman" w:eastAsia="方正小标宋简体" w:cs="方正小标宋简体"/>
          <w:kern w:val="2"/>
          <w:sz w:val="36"/>
          <w:szCs w:val="36"/>
        </w:rPr>
      </w:pPr>
      <w:r>
        <w:rPr>
          <w:rFonts w:hint="eastAsia" w:ascii="Times New Roman" w:hAnsi="Times New Roman" w:eastAsia="方正小标宋简体" w:cs="方正小标宋简体"/>
          <w:kern w:val="2"/>
          <w:sz w:val="36"/>
          <w:szCs w:val="36"/>
        </w:rPr>
        <w:t>目  录</w:t>
      </w:r>
    </w:p>
    <w:p w14:paraId="5C4956B4">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rPr>
          <w:rFonts w:hint="eastAsia" w:ascii="宋体" w:hAnsi="宋体" w:cs="楷体_GB2312"/>
          <w:smallCaps w:val="0"/>
          <w:szCs w:val="32"/>
        </w:rPr>
        <w:fldChar w:fldCharType="begin"/>
      </w:r>
      <w:r>
        <w:rPr>
          <w:rFonts w:hint="eastAsia" w:ascii="宋体" w:hAnsi="宋体" w:cs="楷体_GB2312"/>
          <w:smallCaps w:val="0"/>
          <w:szCs w:val="32"/>
        </w:rPr>
        <w:instrText xml:space="preserve"> TOC \o "1-2" \h \z \u </w:instrText>
      </w:r>
      <w:r>
        <w:rPr>
          <w:rFonts w:hint="eastAsia" w:ascii="宋体" w:hAnsi="宋体" w:cs="楷体_GB2312"/>
          <w:smallCaps w:val="0"/>
          <w:szCs w:val="32"/>
        </w:rPr>
        <w:fldChar w:fldCharType="separate"/>
      </w:r>
      <w:r>
        <w:fldChar w:fldCharType="begin"/>
      </w:r>
      <w:r>
        <w:instrText xml:space="preserve"> HYPERLINK \l "_Toc9507" </w:instrText>
      </w:r>
      <w:r>
        <w:fldChar w:fldCharType="separate"/>
      </w:r>
      <w:r>
        <w:rPr>
          <w:rFonts w:hint="eastAsia" w:ascii="宋体" w:hAnsi="宋体" w:eastAsia="黑体" w:cs="黑体"/>
          <w:smallCaps w:val="0"/>
          <w:szCs w:val="32"/>
        </w:rPr>
        <w:t>第一章 锚定新使命，奋进“强荣新和美”的新时代社会主义现代化强区建设新征程</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_Toc9507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1</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04902D1B">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"_Toc31627" </w:instrText>
      </w:r>
      <w:r>
        <w:fldChar w:fldCharType="separate"/>
      </w:r>
      <w:r>
        <w:rPr>
          <w:rFonts w:hint="eastAsia" w:ascii="宋体" w:hAnsi="宋体" w:cs="楷体_GB2312"/>
          <w:smallCaps w:val="0"/>
          <w:szCs w:val="32"/>
        </w:rPr>
        <w:t>一、发展基础</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_Toc31627 \h </w:instrText>
      </w:r>
      <w:r>
        <w:rPr>
          <w:rFonts w:hint="eastAsia" w:ascii="宋体" w:hAnsi="宋体" w:cs="楷体_GB2312"/>
          <w:smallCaps w:val="0"/>
          <w:szCs w:val="32"/>
        </w:rPr>
        <w:fldChar w:fldCharType="separate"/>
      </w:r>
      <w:r>
        <w:rPr>
          <w:rFonts w:hint="eastAsia" w:ascii="宋体" w:hAnsi="宋体" w:cs="楷体_GB2312"/>
          <w:smallCaps w:val="0"/>
          <w:szCs w:val="32"/>
        </w:rPr>
        <w:t>2</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2A1F25FF">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"_Toc14459" </w:instrText>
      </w:r>
      <w:r>
        <w:fldChar w:fldCharType="separate"/>
      </w:r>
      <w:r>
        <w:rPr>
          <w:rFonts w:hint="eastAsia" w:ascii="宋体" w:hAnsi="宋体" w:cs="楷体_GB2312"/>
          <w:smallCaps w:val="0"/>
          <w:szCs w:val="32"/>
        </w:rPr>
        <w:t>二、外部环境</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_Toc14459 \h </w:instrText>
      </w:r>
      <w:r>
        <w:rPr>
          <w:rFonts w:hint="eastAsia" w:ascii="宋体" w:hAnsi="宋体" w:cs="楷体_GB2312"/>
          <w:smallCaps w:val="0"/>
          <w:szCs w:val="32"/>
        </w:rPr>
        <w:fldChar w:fldCharType="separate"/>
      </w:r>
      <w:r>
        <w:rPr>
          <w:rFonts w:hint="eastAsia" w:ascii="宋体" w:hAnsi="宋体" w:cs="楷体_GB2312"/>
          <w:smallCaps w:val="0"/>
          <w:szCs w:val="32"/>
        </w:rPr>
        <w:t>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8018287">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"_Toc14235" </w:instrText>
      </w:r>
      <w:r>
        <w:fldChar w:fldCharType="separate"/>
      </w:r>
      <w:r>
        <w:rPr>
          <w:rFonts w:hint="eastAsia" w:ascii="宋体" w:hAnsi="宋体" w:cs="楷体_GB2312"/>
          <w:smallCaps w:val="0"/>
          <w:szCs w:val="32"/>
        </w:rPr>
        <w:t>三、指导思想</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_Toc14235 \h </w:instrText>
      </w:r>
      <w:r>
        <w:rPr>
          <w:rFonts w:hint="eastAsia" w:ascii="宋体" w:hAnsi="宋体" w:cs="楷体_GB2312"/>
          <w:smallCaps w:val="0"/>
          <w:szCs w:val="32"/>
        </w:rPr>
        <w:fldChar w:fldCharType="separate"/>
      </w:r>
      <w:r>
        <w:rPr>
          <w:rFonts w:hint="eastAsia" w:ascii="宋体" w:hAnsi="宋体" w:cs="楷体_GB2312"/>
          <w:smallCaps w:val="0"/>
          <w:szCs w:val="32"/>
        </w:rPr>
        <w:t>10</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3CF9352F">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"_Toc29982" </w:instrText>
      </w:r>
      <w:r>
        <w:fldChar w:fldCharType="separate"/>
      </w:r>
      <w:r>
        <w:rPr>
          <w:rFonts w:hint="eastAsia" w:ascii="宋体" w:hAnsi="宋体" w:cs="楷体_GB2312"/>
          <w:smallCaps w:val="0"/>
          <w:szCs w:val="32"/>
        </w:rPr>
        <w:t>四、基本原则</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_Toc29982 \h </w:instrText>
      </w:r>
      <w:r>
        <w:rPr>
          <w:rFonts w:hint="eastAsia" w:ascii="宋体" w:hAnsi="宋体" w:cs="楷体_GB2312"/>
          <w:smallCaps w:val="0"/>
          <w:szCs w:val="32"/>
        </w:rPr>
        <w:fldChar w:fldCharType="separate"/>
      </w:r>
      <w:r>
        <w:rPr>
          <w:rFonts w:hint="eastAsia" w:ascii="宋体" w:hAnsi="宋体" w:cs="楷体_GB2312"/>
          <w:smallCaps w:val="0"/>
          <w:szCs w:val="32"/>
        </w:rPr>
        <w:t>11</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91675D2">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"_Toc18924" </w:instrText>
      </w:r>
      <w:r>
        <w:fldChar w:fldCharType="separate"/>
      </w:r>
      <w:r>
        <w:rPr>
          <w:rFonts w:hint="eastAsia" w:ascii="宋体" w:hAnsi="宋体" w:cs="楷体_GB2312"/>
          <w:smallCaps w:val="0"/>
          <w:szCs w:val="32"/>
          <w:lang w:val="en-US" w:eastAsia="zh-CN"/>
        </w:rPr>
        <w:t>五</w:t>
      </w:r>
      <w:r>
        <w:rPr>
          <w:rFonts w:hint="eastAsia" w:ascii="宋体" w:hAnsi="宋体" w:cs="楷体_GB2312"/>
          <w:smallCaps w:val="0"/>
          <w:szCs w:val="32"/>
        </w:rPr>
        <w:t>、发展目标</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_Toc18924 \h </w:instrText>
      </w:r>
      <w:r>
        <w:rPr>
          <w:rFonts w:hint="eastAsia" w:ascii="宋体" w:hAnsi="宋体" w:cs="楷体_GB2312"/>
          <w:smallCaps w:val="0"/>
          <w:szCs w:val="32"/>
        </w:rPr>
        <w:fldChar w:fldCharType="separate"/>
      </w:r>
      <w:r>
        <w:rPr>
          <w:rFonts w:hint="eastAsia" w:ascii="宋体" w:hAnsi="宋体" w:cs="楷体_GB2312"/>
          <w:smallCaps w:val="0"/>
          <w:szCs w:val="32"/>
        </w:rPr>
        <w:t>12</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7DB2E076">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"_Toc1093" </w:instrText>
      </w:r>
      <w:r>
        <w:fldChar w:fldCharType="separate"/>
      </w:r>
      <w:r>
        <w:rPr>
          <w:rFonts w:hint="eastAsia" w:ascii="宋体" w:hAnsi="宋体" w:eastAsia="黑体" w:cs="黑体"/>
          <w:smallCaps w:val="0"/>
          <w:szCs w:val="32"/>
        </w:rPr>
        <w:t>第二章 加快构建现代化产业体系，筑牢实体经济根基</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_Toc1093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17</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525A13A4">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"_Toc17767" </w:instrText>
      </w:r>
      <w:r>
        <w:fldChar w:fldCharType="separate"/>
      </w:r>
      <w:r>
        <w:rPr>
          <w:rFonts w:hint="eastAsia" w:ascii="宋体" w:hAnsi="宋体" w:cs="楷体_GB2312"/>
          <w:smallCaps w:val="0"/>
          <w:szCs w:val="32"/>
        </w:rPr>
        <w:t>一、聚力发展龙头引领产业</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_Toc17767 \h </w:instrText>
      </w:r>
      <w:r>
        <w:rPr>
          <w:rFonts w:hint="eastAsia" w:ascii="宋体" w:hAnsi="宋体" w:cs="楷体_GB2312"/>
          <w:smallCaps w:val="0"/>
          <w:szCs w:val="32"/>
        </w:rPr>
        <w:fldChar w:fldCharType="separate"/>
      </w:r>
      <w:r>
        <w:rPr>
          <w:rFonts w:hint="eastAsia" w:ascii="宋体" w:hAnsi="宋体" w:cs="楷体_GB2312"/>
          <w:smallCaps w:val="0"/>
          <w:szCs w:val="32"/>
        </w:rPr>
        <w:t>17</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64B04F52">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"_Toc30316" </w:instrText>
      </w:r>
      <w:r>
        <w:fldChar w:fldCharType="separate"/>
      </w:r>
      <w:r>
        <w:rPr>
          <w:rFonts w:hint="eastAsia" w:ascii="宋体" w:hAnsi="宋体" w:cs="楷体_GB2312"/>
          <w:smallCaps w:val="0"/>
          <w:szCs w:val="32"/>
        </w:rPr>
        <w:t>二、培育壮大特色品牌产业</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_Toc30316 \h </w:instrText>
      </w:r>
      <w:r>
        <w:rPr>
          <w:rFonts w:hint="eastAsia" w:ascii="宋体" w:hAnsi="宋体" w:cs="楷体_GB2312"/>
          <w:smallCaps w:val="0"/>
          <w:szCs w:val="32"/>
        </w:rPr>
        <w:fldChar w:fldCharType="separate"/>
      </w:r>
      <w:r>
        <w:rPr>
          <w:rFonts w:hint="eastAsia" w:ascii="宋体" w:hAnsi="宋体" w:cs="楷体_GB2312"/>
          <w:smallCaps w:val="0"/>
          <w:szCs w:val="32"/>
        </w:rPr>
        <w:t>19</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5ADFE756">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"_Toc30543" </w:instrText>
      </w:r>
      <w:r>
        <w:fldChar w:fldCharType="separate"/>
      </w:r>
      <w:r>
        <w:rPr>
          <w:rFonts w:hint="eastAsia" w:ascii="宋体" w:hAnsi="宋体" w:cs="楷体_GB2312"/>
          <w:smallCaps w:val="0"/>
          <w:szCs w:val="32"/>
        </w:rPr>
        <w:t>三、抢滩布局未来产业</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_Toc30543 \h </w:instrText>
      </w:r>
      <w:r>
        <w:rPr>
          <w:rFonts w:hint="eastAsia" w:ascii="宋体" w:hAnsi="宋体" w:cs="楷体_GB2312"/>
          <w:smallCaps w:val="0"/>
          <w:szCs w:val="32"/>
        </w:rPr>
        <w:fldChar w:fldCharType="separate"/>
      </w:r>
      <w:r>
        <w:rPr>
          <w:rFonts w:hint="eastAsia" w:ascii="宋体" w:hAnsi="宋体" w:cs="楷体_GB2312"/>
          <w:smallCaps w:val="0"/>
          <w:szCs w:val="32"/>
        </w:rPr>
        <w:t>20</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5ABAB352">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"_Toc9539" </w:instrText>
      </w:r>
      <w:r>
        <w:fldChar w:fldCharType="separate"/>
      </w:r>
      <w:r>
        <w:rPr>
          <w:rFonts w:hint="eastAsia" w:ascii="宋体" w:hAnsi="宋体" w:cs="楷体_GB2312"/>
          <w:smallCaps w:val="0"/>
          <w:szCs w:val="32"/>
        </w:rPr>
        <w:t>四、促进服务业优质高效发展</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_Toc9539 \h </w:instrText>
      </w:r>
      <w:r>
        <w:rPr>
          <w:rFonts w:hint="eastAsia" w:ascii="宋体" w:hAnsi="宋体" w:cs="楷体_GB2312"/>
          <w:smallCaps w:val="0"/>
          <w:szCs w:val="32"/>
        </w:rPr>
        <w:fldChar w:fldCharType="separate"/>
      </w:r>
      <w:r>
        <w:rPr>
          <w:rFonts w:hint="eastAsia" w:ascii="宋体" w:hAnsi="宋体" w:cs="楷体_GB2312"/>
          <w:smallCaps w:val="0"/>
          <w:szCs w:val="32"/>
        </w:rPr>
        <w:t>22</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77E2BE7">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"_Toc1084" </w:instrText>
      </w:r>
      <w:r>
        <w:fldChar w:fldCharType="separate"/>
      </w:r>
      <w:r>
        <w:rPr>
          <w:rFonts w:hint="eastAsia" w:ascii="宋体" w:hAnsi="宋体" w:cs="楷体_GB2312"/>
          <w:smallCaps w:val="0"/>
          <w:szCs w:val="32"/>
        </w:rPr>
        <w:t>五、持续优化产业生态</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_Toc1084 \h </w:instrText>
      </w:r>
      <w:r>
        <w:rPr>
          <w:rFonts w:hint="eastAsia" w:ascii="宋体" w:hAnsi="宋体" w:cs="楷体_GB2312"/>
          <w:smallCaps w:val="0"/>
          <w:szCs w:val="32"/>
        </w:rPr>
        <w:fldChar w:fldCharType="separate"/>
      </w:r>
      <w:r>
        <w:rPr>
          <w:rFonts w:hint="eastAsia" w:ascii="宋体" w:hAnsi="宋体" w:cs="楷体_GB2312"/>
          <w:smallCaps w:val="0"/>
          <w:szCs w:val="32"/>
        </w:rPr>
        <w:t>24</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E6711F6">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"_Toc31942" </w:instrText>
      </w:r>
      <w:r>
        <w:fldChar w:fldCharType="separate"/>
      </w:r>
      <w:r>
        <w:rPr>
          <w:rFonts w:hint="eastAsia" w:ascii="宋体" w:hAnsi="宋体" w:eastAsia="黑体" w:cs="黑体"/>
          <w:smallCaps w:val="0"/>
          <w:szCs w:val="32"/>
        </w:rPr>
        <w:t>第三章 建设</w:t>
      </w:r>
      <w:r>
        <w:rPr>
          <w:rFonts w:hint="eastAsia" w:ascii="宋体" w:hAnsi="宋体" w:eastAsia="黑体" w:cs="黑体"/>
          <w:smallCaps w:val="0"/>
          <w:szCs w:val="32"/>
          <w:lang w:val="en-US" w:eastAsia="zh-CN"/>
        </w:rPr>
        <w:t>科技创新强区</w:t>
      </w:r>
      <w:bookmarkStart w:id="146" w:name="_GoBack"/>
      <w:bookmarkEnd w:id="146"/>
      <w:r>
        <w:rPr>
          <w:rFonts w:hint="eastAsia" w:ascii="宋体" w:hAnsi="宋体" w:eastAsia="黑体" w:cs="黑体"/>
          <w:smallCaps w:val="0"/>
          <w:szCs w:val="32"/>
        </w:rPr>
        <w:t>，引领发展新质生产力</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_Toc31942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25</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6328EA6C">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"_Toc8949" </w:instrText>
      </w:r>
      <w:r>
        <w:fldChar w:fldCharType="separate"/>
      </w:r>
      <w:r>
        <w:rPr>
          <w:rFonts w:hint="eastAsia" w:ascii="宋体" w:hAnsi="宋体" w:cs="楷体_GB2312"/>
          <w:smallCaps w:val="0"/>
          <w:szCs w:val="32"/>
        </w:rPr>
        <w:t>一、推动科技创新和产业创新深度融合</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_Toc8949 \h </w:instrText>
      </w:r>
      <w:r>
        <w:rPr>
          <w:rFonts w:hint="eastAsia" w:ascii="宋体" w:hAnsi="宋体" w:cs="楷体_GB2312"/>
          <w:smallCaps w:val="0"/>
          <w:szCs w:val="32"/>
        </w:rPr>
        <w:fldChar w:fldCharType="separate"/>
      </w:r>
      <w:r>
        <w:rPr>
          <w:rFonts w:hint="eastAsia" w:ascii="宋体" w:hAnsi="宋体" w:cs="楷体_GB2312"/>
          <w:smallCaps w:val="0"/>
          <w:szCs w:val="32"/>
        </w:rPr>
        <w:t>26</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33B62C31">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"_Toc20592" </w:instrText>
      </w:r>
      <w:r>
        <w:fldChar w:fldCharType="separate"/>
      </w:r>
      <w:r>
        <w:rPr>
          <w:rFonts w:hint="eastAsia" w:ascii="宋体" w:hAnsi="宋体" w:cs="楷体_GB2312"/>
          <w:smallCaps w:val="0"/>
          <w:szCs w:val="32"/>
        </w:rPr>
        <w:t>二、营造一流创新发展生态</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_Toc20592 \h </w:instrText>
      </w:r>
      <w:r>
        <w:rPr>
          <w:rFonts w:hint="eastAsia" w:ascii="宋体" w:hAnsi="宋体" w:cs="楷体_GB2312"/>
          <w:smallCaps w:val="0"/>
          <w:szCs w:val="32"/>
        </w:rPr>
        <w:fldChar w:fldCharType="separate"/>
      </w:r>
      <w:r>
        <w:rPr>
          <w:rFonts w:hint="eastAsia" w:ascii="宋体" w:hAnsi="宋体" w:cs="楷体_GB2312"/>
          <w:smallCaps w:val="0"/>
          <w:szCs w:val="32"/>
        </w:rPr>
        <w:t>27</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6ECA3069">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"_Toc14741" </w:instrText>
      </w:r>
      <w:r>
        <w:fldChar w:fldCharType="separate"/>
      </w:r>
      <w:r>
        <w:rPr>
          <w:rFonts w:hint="eastAsia" w:ascii="宋体" w:hAnsi="宋体" w:cs="楷体_GB2312"/>
          <w:smallCaps w:val="0"/>
          <w:szCs w:val="32"/>
        </w:rPr>
        <w:t>三、深化教育科技人才一体发展</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_Toc14741 \h </w:instrText>
      </w:r>
      <w:r>
        <w:rPr>
          <w:rFonts w:hint="eastAsia" w:ascii="宋体" w:hAnsi="宋体" w:cs="楷体_GB2312"/>
          <w:smallCaps w:val="0"/>
          <w:szCs w:val="32"/>
        </w:rPr>
        <w:fldChar w:fldCharType="separate"/>
      </w:r>
      <w:r>
        <w:rPr>
          <w:rFonts w:hint="eastAsia" w:ascii="宋体" w:hAnsi="宋体" w:cs="楷体_GB2312"/>
          <w:smallCaps w:val="0"/>
          <w:szCs w:val="32"/>
        </w:rPr>
        <w:t>28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5DB01977">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"_Toc29781" </w:instrText>
      </w:r>
      <w:r>
        <w:fldChar w:fldCharType="separate"/>
      </w:r>
      <w:r>
        <w:rPr>
          <w:rFonts w:hint="eastAsia" w:ascii="宋体" w:hAnsi="宋体" w:cs="楷体_GB2312"/>
          <w:smallCaps w:val="0"/>
          <w:szCs w:val="32"/>
        </w:rPr>
        <w:t>四、推进数智槐荫建设</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_Toc29781 \h </w:instrText>
      </w:r>
      <w:r>
        <w:rPr>
          <w:rFonts w:hint="eastAsia" w:ascii="宋体" w:hAnsi="宋体" w:cs="楷体_GB2312"/>
          <w:smallCaps w:val="0"/>
          <w:szCs w:val="32"/>
        </w:rPr>
        <w:fldChar w:fldCharType="separate"/>
      </w:r>
      <w:r>
        <w:rPr>
          <w:rFonts w:hint="eastAsia" w:ascii="宋体" w:hAnsi="宋体" w:cs="楷体_GB2312"/>
          <w:smallCaps w:val="0"/>
          <w:szCs w:val="32"/>
        </w:rPr>
        <w:t>30</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7CDC4AB">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"_Toc16571" </w:instrText>
      </w:r>
      <w:r>
        <w:fldChar w:fldCharType="separate"/>
      </w:r>
      <w:r>
        <w:rPr>
          <w:rFonts w:hint="eastAsia" w:ascii="宋体" w:hAnsi="宋体" w:eastAsia="黑体" w:cs="黑体"/>
          <w:smallCaps w:val="0"/>
          <w:szCs w:val="32"/>
        </w:rPr>
        <w:t>第四章 全方位扩大内需，主动服务和融入新发展格局</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_Toc16571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33</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3BFEB72D">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"_Toc2055" </w:instrText>
      </w:r>
      <w:r>
        <w:fldChar w:fldCharType="separate"/>
      </w:r>
      <w:r>
        <w:rPr>
          <w:rFonts w:hint="eastAsia" w:ascii="宋体" w:hAnsi="宋体" w:cs="楷体_GB2312"/>
          <w:smallCaps w:val="0"/>
          <w:szCs w:val="32"/>
        </w:rPr>
        <w:t>一、提升消费辐射能级</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_Toc2055 \h </w:instrText>
      </w:r>
      <w:r>
        <w:rPr>
          <w:rFonts w:hint="eastAsia" w:ascii="宋体" w:hAnsi="宋体" w:cs="楷体_GB2312"/>
          <w:smallCaps w:val="0"/>
          <w:szCs w:val="32"/>
        </w:rPr>
        <w:fldChar w:fldCharType="separate"/>
      </w:r>
      <w:r>
        <w:rPr>
          <w:rFonts w:hint="eastAsia" w:ascii="宋体" w:hAnsi="宋体" w:cs="楷体_GB2312"/>
          <w:smallCaps w:val="0"/>
          <w:szCs w:val="32"/>
        </w:rPr>
        <w:t>33</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35C61822">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"_Toc1369" </w:instrText>
      </w:r>
      <w:r>
        <w:fldChar w:fldCharType="separate"/>
      </w:r>
      <w:r>
        <w:rPr>
          <w:rFonts w:hint="eastAsia" w:ascii="宋体" w:hAnsi="宋体" w:cs="楷体_GB2312"/>
          <w:smallCaps w:val="0"/>
          <w:szCs w:val="32"/>
        </w:rPr>
        <w:t>二、扩大有效投资支撑</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_Toc1369 \h </w:instrText>
      </w:r>
      <w:r>
        <w:rPr>
          <w:rFonts w:hint="eastAsia" w:ascii="宋体" w:hAnsi="宋体" w:cs="楷体_GB2312"/>
          <w:smallCaps w:val="0"/>
          <w:szCs w:val="32"/>
        </w:rPr>
        <w:fldChar w:fldCharType="separate"/>
      </w:r>
      <w:r>
        <w:rPr>
          <w:rFonts w:hint="eastAsia" w:ascii="宋体" w:hAnsi="宋体" w:cs="楷体_GB2312"/>
          <w:smallCaps w:val="0"/>
          <w:szCs w:val="32"/>
        </w:rPr>
        <w:t>36</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B98A194">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"_Toc18868" </w:instrText>
      </w:r>
      <w:r>
        <w:fldChar w:fldCharType="separate"/>
      </w:r>
      <w:r>
        <w:rPr>
          <w:rFonts w:hint="eastAsia" w:ascii="宋体" w:hAnsi="宋体" w:cs="楷体_GB2312"/>
          <w:smallCaps w:val="0"/>
          <w:szCs w:val="32"/>
        </w:rPr>
        <w:t>三、服务和融入全国统一大市场建设</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_Toc18868 \h </w:instrText>
      </w:r>
      <w:r>
        <w:rPr>
          <w:rFonts w:hint="eastAsia" w:ascii="宋体" w:hAnsi="宋体" w:cs="楷体_GB2312"/>
          <w:smallCaps w:val="0"/>
          <w:szCs w:val="32"/>
        </w:rPr>
        <w:fldChar w:fldCharType="separate"/>
      </w:r>
      <w:r>
        <w:rPr>
          <w:rFonts w:hint="eastAsia" w:ascii="宋体" w:hAnsi="宋体" w:cs="楷体_GB2312"/>
          <w:smallCaps w:val="0"/>
          <w:szCs w:val="32"/>
        </w:rPr>
        <w:t>36</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797B5A58">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"_Toc26079" </w:instrText>
      </w:r>
      <w:r>
        <w:fldChar w:fldCharType="separate"/>
      </w:r>
      <w:r>
        <w:rPr>
          <w:rFonts w:hint="eastAsia" w:ascii="宋体" w:hAnsi="宋体" w:eastAsia="黑体" w:cs="黑体"/>
          <w:smallCaps w:val="0"/>
          <w:szCs w:val="32"/>
        </w:rPr>
        <w:t>第五章 持续深化改革开放，增强高质量发展动力活力</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_Toc26079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38</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0C45C8EC">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"_Toc15133" </w:instrText>
      </w:r>
      <w:r>
        <w:fldChar w:fldCharType="separate"/>
      </w:r>
      <w:r>
        <w:rPr>
          <w:rFonts w:hint="eastAsia" w:ascii="宋体" w:hAnsi="宋体" w:cs="楷体_GB2312"/>
          <w:smallCaps w:val="0"/>
          <w:szCs w:val="32"/>
        </w:rPr>
        <w:t>一、激发各类经营主体活力</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_Toc15133 \h </w:instrText>
      </w:r>
      <w:r>
        <w:rPr>
          <w:rFonts w:hint="eastAsia" w:ascii="宋体" w:hAnsi="宋体" w:cs="楷体_GB2312"/>
          <w:smallCaps w:val="0"/>
          <w:szCs w:val="32"/>
        </w:rPr>
        <w:fldChar w:fldCharType="separate"/>
      </w:r>
      <w:r>
        <w:rPr>
          <w:rFonts w:hint="eastAsia" w:ascii="宋体" w:hAnsi="宋体" w:cs="楷体_GB2312"/>
          <w:smallCaps w:val="0"/>
          <w:szCs w:val="32"/>
        </w:rPr>
        <w:t>38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6C39CF63">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"_Toc19921" </w:instrText>
      </w:r>
      <w:r>
        <w:fldChar w:fldCharType="separate"/>
      </w:r>
      <w:r>
        <w:rPr>
          <w:rFonts w:hint="eastAsia" w:ascii="宋体" w:hAnsi="宋体" w:cs="楷体_GB2312"/>
          <w:smallCaps w:val="0"/>
          <w:szCs w:val="32"/>
        </w:rPr>
        <w:t>二、创新要素市场化配置方式</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_Toc19921 \h </w:instrText>
      </w:r>
      <w:r>
        <w:rPr>
          <w:rFonts w:hint="eastAsia" w:ascii="宋体" w:hAnsi="宋体" w:cs="楷体_GB2312"/>
          <w:smallCaps w:val="0"/>
          <w:szCs w:val="32"/>
        </w:rPr>
        <w:fldChar w:fldCharType="separate"/>
      </w:r>
      <w:r>
        <w:rPr>
          <w:rFonts w:hint="eastAsia" w:ascii="宋体" w:hAnsi="宋体" w:cs="楷体_GB2312"/>
          <w:smallCaps w:val="0"/>
          <w:szCs w:val="32"/>
        </w:rPr>
        <w:t>39</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0D5F803">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"_Toc28503" </w:instrText>
      </w:r>
      <w:r>
        <w:fldChar w:fldCharType="separate"/>
      </w:r>
      <w:r>
        <w:rPr>
          <w:rFonts w:hint="eastAsia" w:ascii="宋体" w:hAnsi="宋体" w:cs="楷体_GB2312"/>
          <w:smallCaps w:val="0"/>
          <w:szCs w:val="32"/>
        </w:rPr>
        <w:t>三、持续擦亮“宜商槐荫”品牌</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_Toc28503 \h </w:instrText>
      </w:r>
      <w:r>
        <w:rPr>
          <w:rFonts w:hint="eastAsia" w:ascii="宋体" w:hAnsi="宋体" w:cs="楷体_GB2312"/>
          <w:smallCaps w:val="0"/>
          <w:szCs w:val="32"/>
        </w:rPr>
        <w:fldChar w:fldCharType="separate"/>
      </w:r>
      <w:r>
        <w:rPr>
          <w:rFonts w:hint="eastAsia" w:ascii="宋体" w:hAnsi="宋体" w:cs="楷体_GB2312"/>
          <w:smallCaps w:val="0"/>
          <w:szCs w:val="32"/>
        </w:rPr>
        <w:t>39</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2B98460F">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"_Toc2834" </w:instrText>
      </w:r>
      <w:r>
        <w:fldChar w:fldCharType="separate"/>
      </w:r>
      <w:r>
        <w:rPr>
          <w:rFonts w:hint="eastAsia" w:ascii="宋体" w:hAnsi="宋体" w:cs="楷体_GB2312"/>
          <w:smallCaps w:val="0"/>
          <w:szCs w:val="32"/>
        </w:rPr>
        <w:t>四、深化财税金融改革</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_Toc2834 \h </w:instrText>
      </w:r>
      <w:r>
        <w:rPr>
          <w:rFonts w:hint="eastAsia" w:ascii="宋体" w:hAnsi="宋体" w:cs="楷体_GB2312"/>
          <w:smallCaps w:val="0"/>
          <w:szCs w:val="32"/>
        </w:rPr>
        <w:fldChar w:fldCharType="separate"/>
      </w:r>
      <w:r>
        <w:rPr>
          <w:rFonts w:hint="eastAsia" w:ascii="宋体" w:hAnsi="宋体" w:cs="楷体_GB2312"/>
          <w:smallCaps w:val="0"/>
          <w:szCs w:val="32"/>
        </w:rPr>
        <w:t>40</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BC4856B">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"_Toc20335" </w:instrText>
      </w:r>
      <w:r>
        <w:fldChar w:fldCharType="separate"/>
      </w:r>
      <w:r>
        <w:rPr>
          <w:rFonts w:hint="eastAsia" w:ascii="宋体" w:hAnsi="宋体" w:cs="楷体_GB2312"/>
          <w:smallCaps w:val="0"/>
          <w:szCs w:val="32"/>
        </w:rPr>
        <w:t>五、着力提升开放融通能级</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_Toc20335 \h </w:instrText>
      </w:r>
      <w:r>
        <w:rPr>
          <w:rFonts w:hint="eastAsia" w:ascii="宋体" w:hAnsi="宋体" w:cs="楷体_GB2312"/>
          <w:smallCaps w:val="0"/>
          <w:szCs w:val="32"/>
        </w:rPr>
        <w:fldChar w:fldCharType="separate"/>
      </w:r>
      <w:r>
        <w:rPr>
          <w:rFonts w:hint="eastAsia" w:ascii="宋体" w:hAnsi="宋体" w:cs="楷体_GB2312"/>
          <w:smallCaps w:val="0"/>
          <w:szCs w:val="32"/>
        </w:rPr>
        <w:t>40</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D3F224B">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"_Toc12893" </w:instrText>
      </w:r>
      <w:r>
        <w:fldChar w:fldCharType="separate"/>
      </w:r>
      <w:r>
        <w:rPr>
          <w:rFonts w:hint="eastAsia" w:ascii="宋体" w:hAnsi="宋体" w:cs="楷体_GB2312"/>
          <w:smallCaps w:val="0"/>
          <w:szCs w:val="32"/>
        </w:rPr>
        <w:t>六、促进外贸外资扩量提质</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_Toc12893 \h </w:instrText>
      </w:r>
      <w:r>
        <w:rPr>
          <w:rFonts w:hint="eastAsia" w:ascii="宋体" w:hAnsi="宋体" w:cs="楷体_GB2312"/>
          <w:smallCaps w:val="0"/>
          <w:szCs w:val="32"/>
        </w:rPr>
        <w:fldChar w:fldCharType="separate"/>
      </w:r>
      <w:r>
        <w:rPr>
          <w:rFonts w:hint="eastAsia" w:ascii="宋体" w:hAnsi="宋体" w:cs="楷体_GB2312"/>
          <w:smallCaps w:val="0"/>
          <w:szCs w:val="32"/>
        </w:rPr>
        <w:t>43</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A134CDB">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"_Toc21873" </w:instrText>
      </w:r>
      <w:r>
        <w:fldChar w:fldCharType="separate"/>
      </w:r>
      <w:r>
        <w:rPr>
          <w:rFonts w:hint="eastAsia" w:ascii="宋体" w:hAnsi="宋体" w:eastAsia="黑体" w:cs="黑体"/>
          <w:smallCaps w:val="0"/>
          <w:szCs w:val="32"/>
        </w:rPr>
        <w:t>第六章 推动城市品质能级跃升，建设黄河流域中心城市一流城区</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_Toc21873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45</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61785931">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"_Toc13518" </w:instrText>
      </w:r>
      <w:r>
        <w:fldChar w:fldCharType="separate"/>
      </w:r>
      <w:r>
        <w:rPr>
          <w:rFonts w:hint="eastAsia" w:ascii="宋体" w:hAnsi="宋体" w:cs="楷体_GB2312"/>
          <w:smallCaps w:val="0"/>
          <w:szCs w:val="32"/>
        </w:rPr>
        <w:t>一、优化核心片区发展格局</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_Toc13518 \h </w:instrText>
      </w:r>
      <w:r>
        <w:rPr>
          <w:rFonts w:hint="eastAsia" w:ascii="宋体" w:hAnsi="宋体" w:cs="楷体_GB2312"/>
          <w:smallCaps w:val="0"/>
          <w:szCs w:val="32"/>
        </w:rPr>
        <w:fldChar w:fldCharType="separate"/>
      </w:r>
      <w:r>
        <w:rPr>
          <w:rFonts w:hint="eastAsia" w:ascii="宋体" w:hAnsi="宋体" w:cs="楷体_GB2312"/>
          <w:smallCaps w:val="0"/>
          <w:szCs w:val="32"/>
        </w:rPr>
        <w:t>45</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6102970C">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"_Toc30814" </w:instrText>
      </w:r>
      <w:r>
        <w:fldChar w:fldCharType="separate"/>
      </w:r>
      <w:r>
        <w:rPr>
          <w:rFonts w:hint="eastAsia" w:ascii="宋体" w:hAnsi="宋体" w:cs="楷体_GB2312"/>
          <w:smallCaps w:val="0"/>
          <w:szCs w:val="32"/>
        </w:rPr>
        <w:t>二、高标准实施城市更新</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_Toc30814 \h </w:instrText>
      </w:r>
      <w:r>
        <w:rPr>
          <w:rFonts w:hint="eastAsia" w:ascii="宋体" w:hAnsi="宋体" w:cs="楷体_GB2312"/>
          <w:smallCaps w:val="0"/>
          <w:szCs w:val="32"/>
        </w:rPr>
        <w:fldChar w:fldCharType="separate"/>
      </w:r>
      <w:r>
        <w:rPr>
          <w:rFonts w:hint="eastAsia" w:ascii="宋体" w:hAnsi="宋体" w:cs="楷体_GB2312"/>
          <w:smallCaps w:val="0"/>
          <w:szCs w:val="32"/>
        </w:rPr>
        <w:t>47</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3B6996EE">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"_Toc5734" </w:instrText>
      </w:r>
      <w:r>
        <w:fldChar w:fldCharType="separate"/>
      </w:r>
      <w:r>
        <w:rPr>
          <w:rFonts w:hint="eastAsia" w:ascii="宋体" w:hAnsi="宋体" w:cs="楷体_GB2312"/>
          <w:smallCaps w:val="0"/>
          <w:szCs w:val="32"/>
        </w:rPr>
        <w:t>三、打造美丽乡村升级版</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_Toc5734 \h </w:instrText>
      </w:r>
      <w:r>
        <w:rPr>
          <w:rFonts w:hint="eastAsia" w:ascii="宋体" w:hAnsi="宋体" w:cs="楷体_GB2312"/>
          <w:smallCaps w:val="0"/>
          <w:szCs w:val="32"/>
        </w:rPr>
        <w:fldChar w:fldCharType="separate"/>
      </w:r>
      <w:r>
        <w:rPr>
          <w:rFonts w:hint="eastAsia" w:ascii="宋体" w:hAnsi="宋体" w:cs="楷体_GB2312"/>
          <w:smallCaps w:val="0"/>
          <w:szCs w:val="32"/>
        </w:rPr>
        <w:t>48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5CCFEDB1">
      <w:pPr>
        <w:pStyle w:val="17"/>
        <w:tabs>
          <w:tab w:val="right" w:leader="dot" w:pos="8844"/>
          <w:tab w:val="clear" w:pos="8777"/>
        </w:tabs>
        <w:adjustRightInd/>
        <w:snapToGrid/>
        <w:spacing w:line="600" w:lineRule="exact"/>
        <w:ind w:left="0" w:firstLine="0" w:firstLineChars="0"/>
        <w:rPr>
          <w:rFonts w:hint="eastAsia" w:ascii="宋体" w:hAnsi="宋体" w:cs="楷体_GB2312"/>
          <w:smallCaps w:val="0"/>
          <w:szCs w:val="32"/>
        </w:rPr>
      </w:pPr>
      <w:r>
        <w:fldChar w:fldCharType="begin"/>
      </w:r>
      <w:r>
        <w:instrText xml:space="preserve"> HYPERLINK \l "_Toc6420" </w:instrText>
      </w:r>
      <w:r>
        <w:fldChar w:fldCharType="separate"/>
      </w:r>
      <w:r>
        <w:rPr>
          <w:rFonts w:hint="eastAsia" w:ascii="宋体" w:hAnsi="宋体" w:eastAsia="黑体" w:cs="黑体"/>
          <w:smallCaps w:val="0"/>
          <w:szCs w:val="32"/>
        </w:rPr>
        <w:t>第七章 推动绿色低碳转型，绘就美丽槐荫新画卷</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_Toc6420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51</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2FDE9936">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"_Toc30185" </w:instrText>
      </w:r>
      <w:r>
        <w:fldChar w:fldCharType="separate"/>
      </w:r>
      <w:r>
        <w:rPr>
          <w:rFonts w:hint="eastAsia" w:ascii="宋体" w:hAnsi="宋体" w:cs="楷体_GB2312"/>
          <w:smallCaps w:val="0"/>
          <w:szCs w:val="32"/>
        </w:rPr>
        <w:t>一、加强生态保护和修复</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_Toc30185 \h </w:instrText>
      </w:r>
      <w:r>
        <w:rPr>
          <w:rFonts w:hint="eastAsia" w:ascii="宋体" w:hAnsi="宋体" w:cs="楷体_GB2312"/>
          <w:smallCaps w:val="0"/>
          <w:szCs w:val="32"/>
        </w:rPr>
        <w:fldChar w:fldCharType="separate"/>
      </w:r>
      <w:r>
        <w:rPr>
          <w:rFonts w:hint="eastAsia" w:ascii="宋体" w:hAnsi="宋体" w:cs="楷体_GB2312"/>
          <w:smallCaps w:val="0"/>
          <w:szCs w:val="32"/>
        </w:rPr>
        <w:t>51</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9A87467">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"_Toc32568" </w:instrText>
      </w:r>
      <w:r>
        <w:fldChar w:fldCharType="separate"/>
      </w:r>
      <w:r>
        <w:rPr>
          <w:rFonts w:hint="eastAsia" w:ascii="宋体" w:hAnsi="宋体" w:cs="楷体_GB2312"/>
          <w:smallCaps w:val="0"/>
          <w:szCs w:val="32"/>
        </w:rPr>
        <w:t>二、深化污染综合防治</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_Toc32568 \h </w:instrText>
      </w:r>
      <w:r>
        <w:rPr>
          <w:rFonts w:hint="eastAsia" w:ascii="宋体" w:hAnsi="宋体" w:cs="楷体_GB2312"/>
          <w:smallCaps w:val="0"/>
          <w:szCs w:val="32"/>
        </w:rPr>
        <w:fldChar w:fldCharType="separate"/>
      </w:r>
      <w:r>
        <w:rPr>
          <w:rFonts w:hint="eastAsia" w:ascii="宋体" w:hAnsi="宋体" w:cs="楷体_GB2312"/>
          <w:smallCaps w:val="0"/>
          <w:szCs w:val="32"/>
        </w:rPr>
        <w:t>52</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1E864758">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"_Toc22675" </w:instrText>
      </w:r>
      <w:r>
        <w:fldChar w:fldCharType="separate"/>
      </w:r>
      <w:r>
        <w:rPr>
          <w:rFonts w:hint="eastAsia" w:ascii="宋体" w:hAnsi="宋体" w:cs="楷体_GB2312"/>
          <w:smallCaps w:val="0"/>
          <w:szCs w:val="32"/>
        </w:rPr>
        <w:t>三、积极稳妥推进和实现碳达峰</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_Toc22675 \h </w:instrText>
      </w:r>
      <w:r>
        <w:rPr>
          <w:rFonts w:hint="eastAsia" w:ascii="宋体" w:hAnsi="宋体" w:cs="楷体_GB2312"/>
          <w:smallCaps w:val="0"/>
          <w:szCs w:val="32"/>
        </w:rPr>
        <w:fldChar w:fldCharType="separate"/>
      </w:r>
      <w:r>
        <w:rPr>
          <w:rFonts w:hint="eastAsia" w:ascii="宋体" w:hAnsi="宋体" w:cs="楷体_GB2312"/>
          <w:smallCaps w:val="0"/>
          <w:szCs w:val="32"/>
        </w:rPr>
        <w:t>54</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206BD017">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"_Toc11930" </w:instrText>
      </w:r>
      <w:r>
        <w:fldChar w:fldCharType="separate"/>
      </w:r>
      <w:r>
        <w:rPr>
          <w:rFonts w:hint="eastAsia" w:ascii="宋体" w:hAnsi="宋体" w:eastAsia="黑体" w:cs="黑体"/>
          <w:smallCaps w:val="0"/>
          <w:szCs w:val="32"/>
        </w:rPr>
        <w:t>第八章 聚焦传承保护发展，高质量推进文化强区建设</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_Toc11930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56</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631AC304">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"_Toc107" </w:instrText>
      </w:r>
      <w:r>
        <w:fldChar w:fldCharType="separate"/>
      </w:r>
      <w:r>
        <w:rPr>
          <w:rFonts w:hint="eastAsia" w:ascii="宋体" w:hAnsi="宋体" w:cs="楷体_GB2312"/>
          <w:smallCaps w:val="0"/>
          <w:szCs w:val="32"/>
        </w:rPr>
        <w:t>一、弘扬和践行社会主义核心价值观</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_Toc107 \h </w:instrText>
      </w:r>
      <w:r>
        <w:rPr>
          <w:rFonts w:hint="eastAsia" w:ascii="宋体" w:hAnsi="宋体" w:cs="楷体_GB2312"/>
          <w:smallCaps w:val="0"/>
          <w:szCs w:val="32"/>
        </w:rPr>
        <w:fldChar w:fldCharType="separate"/>
      </w:r>
      <w:r>
        <w:rPr>
          <w:rFonts w:hint="eastAsia" w:ascii="宋体" w:hAnsi="宋体" w:cs="楷体_GB2312"/>
          <w:smallCaps w:val="0"/>
          <w:szCs w:val="32"/>
        </w:rPr>
        <w:t>56</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14B8674B">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"_Toc24761" </w:instrText>
      </w:r>
      <w:r>
        <w:fldChar w:fldCharType="separate"/>
      </w:r>
      <w:r>
        <w:rPr>
          <w:rFonts w:hint="eastAsia" w:ascii="宋体" w:hAnsi="宋体" w:cs="楷体_GB2312"/>
          <w:smallCaps w:val="0"/>
          <w:szCs w:val="32"/>
        </w:rPr>
        <w:t>二、繁荣发展文化事业</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_Toc24761 \h </w:instrText>
      </w:r>
      <w:r>
        <w:rPr>
          <w:rFonts w:hint="eastAsia" w:ascii="宋体" w:hAnsi="宋体" w:cs="楷体_GB2312"/>
          <w:smallCaps w:val="0"/>
          <w:szCs w:val="32"/>
        </w:rPr>
        <w:fldChar w:fldCharType="separate"/>
      </w:r>
      <w:r>
        <w:rPr>
          <w:rFonts w:hint="eastAsia" w:ascii="宋体" w:hAnsi="宋体" w:cs="楷体_GB2312"/>
          <w:smallCaps w:val="0"/>
          <w:szCs w:val="32"/>
        </w:rPr>
        <w:t>57</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15F5EDF">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"_Toc2624" </w:instrText>
      </w:r>
      <w:r>
        <w:fldChar w:fldCharType="separate"/>
      </w:r>
      <w:r>
        <w:rPr>
          <w:rFonts w:hint="eastAsia" w:ascii="宋体" w:hAnsi="宋体" w:cs="楷体_GB2312"/>
          <w:smallCaps w:val="0"/>
          <w:szCs w:val="32"/>
        </w:rPr>
        <w:t>三、发展壮大文化产业</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_Toc2624 \h </w:instrText>
      </w:r>
      <w:r>
        <w:rPr>
          <w:rFonts w:hint="eastAsia" w:ascii="宋体" w:hAnsi="宋体" w:cs="楷体_GB2312"/>
          <w:smallCaps w:val="0"/>
          <w:szCs w:val="32"/>
        </w:rPr>
        <w:fldChar w:fldCharType="separate"/>
      </w:r>
      <w:r>
        <w:rPr>
          <w:rFonts w:hint="eastAsia" w:ascii="宋体" w:hAnsi="宋体" w:cs="楷体_GB2312"/>
          <w:smallCaps w:val="0"/>
          <w:szCs w:val="32"/>
        </w:rPr>
        <w:t>57</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2C75473">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"_Toc2885" </w:instrText>
      </w:r>
      <w:r>
        <w:fldChar w:fldCharType="separate"/>
      </w:r>
      <w:r>
        <w:rPr>
          <w:rFonts w:hint="eastAsia" w:ascii="宋体" w:hAnsi="宋体" w:cs="楷体_GB2312"/>
          <w:smallCaps w:val="0"/>
          <w:szCs w:val="32"/>
        </w:rPr>
        <w:t>四、提升文化传播力影响力</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_Toc2885 \h </w:instrText>
      </w:r>
      <w:r>
        <w:rPr>
          <w:rFonts w:hint="eastAsia" w:ascii="宋体" w:hAnsi="宋体" w:cs="楷体_GB2312"/>
          <w:smallCaps w:val="0"/>
          <w:szCs w:val="32"/>
        </w:rPr>
        <w:fldChar w:fldCharType="separate"/>
      </w:r>
      <w:r>
        <w:rPr>
          <w:rFonts w:hint="eastAsia" w:ascii="宋体" w:hAnsi="宋体" w:cs="楷体_GB2312"/>
          <w:smallCaps w:val="0"/>
          <w:szCs w:val="32"/>
        </w:rPr>
        <w:t>58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73FF8589">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"_Toc14493" </w:instrText>
      </w:r>
      <w:r>
        <w:fldChar w:fldCharType="separate"/>
      </w:r>
      <w:r>
        <w:rPr>
          <w:rFonts w:hint="eastAsia" w:ascii="宋体" w:hAnsi="宋体" w:eastAsia="黑体" w:cs="黑体"/>
          <w:smallCaps w:val="0"/>
          <w:szCs w:val="32"/>
        </w:rPr>
        <w:t>第九章 着力保障和改善民生，共创共同富裕新生活</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_Toc14493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60</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2CB2C232">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"_Toc25554" </w:instrText>
      </w:r>
      <w:r>
        <w:fldChar w:fldCharType="separate"/>
      </w:r>
      <w:r>
        <w:rPr>
          <w:rFonts w:hint="eastAsia" w:ascii="宋体" w:hAnsi="宋体" w:cs="楷体_GB2312"/>
          <w:smallCaps w:val="0"/>
          <w:szCs w:val="32"/>
        </w:rPr>
        <w:t>一、促进高质量就业与增收</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_Toc25554 \h </w:instrText>
      </w:r>
      <w:r>
        <w:rPr>
          <w:rFonts w:hint="eastAsia" w:ascii="宋体" w:hAnsi="宋体" w:cs="楷体_GB2312"/>
          <w:smallCaps w:val="0"/>
          <w:szCs w:val="32"/>
        </w:rPr>
        <w:fldChar w:fldCharType="separate"/>
      </w:r>
      <w:r>
        <w:rPr>
          <w:rFonts w:hint="eastAsia" w:ascii="宋体" w:hAnsi="宋体" w:cs="楷体_GB2312"/>
          <w:smallCaps w:val="0"/>
          <w:szCs w:val="32"/>
        </w:rPr>
        <w:t>60</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60D0C184">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"_Toc15148" </w:instrText>
      </w:r>
      <w:r>
        <w:fldChar w:fldCharType="separate"/>
      </w:r>
      <w:r>
        <w:rPr>
          <w:rFonts w:hint="eastAsia" w:ascii="宋体" w:hAnsi="宋体" w:cs="楷体_GB2312"/>
          <w:smallCaps w:val="0"/>
          <w:szCs w:val="32"/>
        </w:rPr>
        <w:t>二、办好人民满意的教育</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_Toc15148 \h </w:instrText>
      </w:r>
      <w:r>
        <w:rPr>
          <w:rFonts w:hint="eastAsia" w:ascii="宋体" w:hAnsi="宋体" w:cs="楷体_GB2312"/>
          <w:smallCaps w:val="0"/>
          <w:szCs w:val="32"/>
        </w:rPr>
        <w:fldChar w:fldCharType="separate"/>
      </w:r>
      <w:r>
        <w:rPr>
          <w:rFonts w:hint="eastAsia" w:ascii="宋体" w:hAnsi="宋体" w:cs="楷体_GB2312"/>
          <w:smallCaps w:val="0"/>
          <w:szCs w:val="32"/>
        </w:rPr>
        <w:t>61</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39CDE7D">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"_Toc4642" </w:instrText>
      </w:r>
      <w:r>
        <w:fldChar w:fldCharType="separate"/>
      </w:r>
      <w:r>
        <w:rPr>
          <w:rFonts w:hint="eastAsia" w:ascii="宋体" w:hAnsi="宋体" w:cs="楷体_GB2312"/>
          <w:smallCaps w:val="0"/>
          <w:szCs w:val="32"/>
        </w:rPr>
        <w:t>三、纵深推进健康槐荫建设</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_Toc4642 \h </w:instrText>
      </w:r>
      <w:r>
        <w:rPr>
          <w:rFonts w:hint="eastAsia" w:ascii="宋体" w:hAnsi="宋体" w:cs="楷体_GB2312"/>
          <w:smallCaps w:val="0"/>
          <w:szCs w:val="32"/>
        </w:rPr>
        <w:fldChar w:fldCharType="separate"/>
      </w:r>
      <w:r>
        <w:rPr>
          <w:rFonts w:hint="eastAsia" w:ascii="宋体" w:hAnsi="宋体" w:cs="楷体_GB2312"/>
          <w:smallCaps w:val="0"/>
          <w:szCs w:val="32"/>
        </w:rPr>
        <w:t>63</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74102CB6">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"_Toc32354" </w:instrText>
      </w:r>
      <w:r>
        <w:fldChar w:fldCharType="separate"/>
      </w:r>
      <w:r>
        <w:rPr>
          <w:rFonts w:hint="eastAsia" w:ascii="宋体" w:hAnsi="宋体" w:cs="楷体_GB2312"/>
          <w:smallCaps w:val="0"/>
          <w:szCs w:val="32"/>
        </w:rPr>
        <w:t>四、推进人口高质量发展</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_Toc32354 \h </w:instrText>
      </w:r>
      <w:r>
        <w:rPr>
          <w:rFonts w:hint="eastAsia" w:ascii="宋体" w:hAnsi="宋体" w:cs="楷体_GB2312"/>
          <w:smallCaps w:val="0"/>
          <w:szCs w:val="32"/>
        </w:rPr>
        <w:fldChar w:fldCharType="separate"/>
      </w:r>
      <w:r>
        <w:rPr>
          <w:rFonts w:hint="eastAsia" w:ascii="宋体" w:hAnsi="宋体" w:cs="楷体_GB2312"/>
          <w:smallCaps w:val="0"/>
          <w:szCs w:val="32"/>
        </w:rPr>
        <w:t>65</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2B903103">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"_Toc3496" </w:instrText>
      </w:r>
      <w:r>
        <w:fldChar w:fldCharType="separate"/>
      </w:r>
      <w:r>
        <w:rPr>
          <w:rFonts w:hint="eastAsia" w:ascii="宋体" w:hAnsi="宋体" w:cs="楷体_GB2312"/>
          <w:smallCaps w:val="0"/>
          <w:szCs w:val="32"/>
        </w:rPr>
        <w:t>五、健全多层次社会保障体系</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_Toc3496 \h </w:instrText>
      </w:r>
      <w:r>
        <w:rPr>
          <w:rFonts w:hint="eastAsia" w:ascii="宋体" w:hAnsi="宋体" w:cs="楷体_GB2312"/>
          <w:smallCaps w:val="0"/>
          <w:szCs w:val="32"/>
        </w:rPr>
        <w:fldChar w:fldCharType="separate"/>
      </w:r>
      <w:r>
        <w:rPr>
          <w:rFonts w:hint="eastAsia" w:ascii="宋体" w:hAnsi="宋体" w:cs="楷体_GB2312"/>
          <w:smallCaps w:val="0"/>
          <w:szCs w:val="32"/>
        </w:rPr>
        <w:t>68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55B51356">
      <w:pPr>
        <w:pStyle w:val="17"/>
        <w:tabs>
          <w:tab w:val="right" w:leader="dot" w:pos="8844"/>
          <w:tab w:val="clear" w:pos="8777"/>
        </w:tabs>
        <w:adjustRightInd/>
        <w:snapToGrid/>
        <w:spacing w:line="600" w:lineRule="exact"/>
        <w:ind w:left="0" w:firstLine="0" w:firstLineChars="0"/>
        <w:rPr>
          <w:rFonts w:hint="eastAsia" w:ascii="宋体" w:hAnsi="宋体" w:cs="楷体_GB2312"/>
          <w:smallCaps w:val="0"/>
          <w:szCs w:val="32"/>
        </w:rPr>
      </w:pPr>
      <w:r>
        <w:fldChar w:fldCharType="begin"/>
      </w:r>
      <w:r>
        <w:instrText xml:space="preserve"> HYPERLINK \l "_Toc11633" </w:instrText>
      </w:r>
      <w:r>
        <w:fldChar w:fldCharType="separate"/>
      </w:r>
      <w:r>
        <w:rPr>
          <w:rFonts w:hint="eastAsia" w:ascii="宋体" w:hAnsi="宋体" w:eastAsia="黑体" w:cs="黑体"/>
          <w:smallCaps w:val="0"/>
          <w:szCs w:val="32"/>
        </w:rPr>
        <w:t>第十章 推进国家安全体系和能力现代化，持续提升城市治理效能</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_Toc11633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70</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1EB39C84">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"_Toc18483" </w:instrText>
      </w:r>
      <w:r>
        <w:fldChar w:fldCharType="separate"/>
      </w:r>
      <w:r>
        <w:rPr>
          <w:rFonts w:hint="eastAsia" w:ascii="宋体" w:hAnsi="宋体" w:cs="楷体_GB2312"/>
          <w:smallCaps w:val="0"/>
          <w:szCs w:val="32"/>
        </w:rPr>
        <w:t>一、增强维护国家安全能力</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_Toc18483 \h </w:instrText>
      </w:r>
      <w:r>
        <w:rPr>
          <w:rFonts w:hint="eastAsia" w:ascii="宋体" w:hAnsi="宋体" w:cs="楷体_GB2312"/>
          <w:smallCaps w:val="0"/>
          <w:szCs w:val="32"/>
        </w:rPr>
        <w:fldChar w:fldCharType="separate"/>
      </w:r>
      <w:r>
        <w:rPr>
          <w:rFonts w:hint="eastAsia" w:ascii="宋体" w:hAnsi="宋体" w:cs="楷体_GB2312"/>
          <w:smallCaps w:val="0"/>
          <w:szCs w:val="32"/>
        </w:rPr>
        <w:t>70</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6B88385C">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"_Toc8394" </w:instrText>
      </w:r>
      <w:r>
        <w:fldChar w:fldCharType="separate"/>
      </w:r>
      <w:r>
        <w:rPr>
          <w:rFonts w:hint="eastAsia" w:ascii="宋体" w:hAnsi="宋体" w:cs="楷体_GB2312"/>
          <w:smallCaps w:val="0"/>
          <w:szCs w:val="32"/>
        </w:rPr>
        <w:t>二、提高公共安全治理水平</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_Toc8394 \h </w:instrText>
      </w:r>
      <w:r>
        <w:rPr>
          <w:rFonts w:hint="eastAsia" w:ascii="宋体" w:hAnsi="宋体" w:cs="楷体_GB2312"/>
          <w:smallCaps w:val="0"/>
          <w:szCs w:val="32"/>
        </w:rPr>
        <w:fldChar w:fldCharType="separate"/>
      </w:r>
      <w:r>
        <w:rPr>
          <w:rFonts w:hint="eastAsia" w:ascii="宋体" w:hAnsi="宋体" w:cs="楷体_GB2312"/>
          <w:smallCaps w:val="0"/>
          <w:szCs w:val="32"/>
        </w:rPr>
        <w:t>71</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63E71B67">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"_Toc5856" </w:instrText>
      </w:r>
      <w:r>
        <w:fldChar w:fldCharType="separate"/>
      </w:r>
      <w:r>
        <w:rPr>
          <w:rFonts w:hint="eastAsia" w:ascii="宋体" w:hAnsi="宋体" w:cs="楷体_GB2312"/>
          <w:smallCaps w:val="0"/>
          <w:szCs w:val="32"/>
        </w:rPr>
        <w:t>三、优化提升社会治理效能</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_Toc5856 \h </w:instrText>
      </w:r>
      <w:r>
        <w:rPr>
          <w:rFonts w:hint="eastAsia" w:ascii="宋体" w:hAnsi="宋体" w:cs="楷体_GB2312"/>
          <w:smallCaps w:val="0"/>
          <w:szCs w:val="32"/>
        </w:rPr>
        <w:fldChar w:fldCharType="separate"/>
      </w:r>
      <w:r>
        <w:rPr>
          <w:rFonts w:hint="eastAsia" w:ascii="宋体" w:hAnsi="宋体" w:cs="楷体_GB2312"/>
          <w:smallCaps w:val="0"/>
          <w:szCs w:val="32"/>
        </w:rPr>
        <w:t>73</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34133388">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"_Toc1466" </w:instrText>
      </w:r>
      <w:r>
        <w:fldChar w:fldCharType="separate"/>
      </w:r>
      <w:r>
        <w:rPr>
          <w:rFonts w:hint="eastAsia" w:ascii="宋体" w:hAnsi="宋体" w:cs="楷体_GB2312"/>
          <w:smallCaps w:val="0"/>
          <w:szCs w:val="32"/>
        </w:rPr>
        <w:t>四、提升城市精细化管理水平</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_Toc1466 \h </w:instrText>
      </w:r>
      <w:r>
        <w:rPr>
          <w:rFonts w:hint="eastAsia" w:ascii="宋体" w:hAnsi="宋体" w:cs="楷体_GB2312"/>
          <w:smallCaps w:val="0"/>
          <w:szCs w:val="32"/>
        </w:rPr>
        <w:fldChar w:fldCharType="separate"/>
      </w:r>
      <w:r>
        <w:rPr>
          <w:rFonts w:hint="eastAsia" w:ascii="宋体" w:hAnsi="宋体" w:cs="楷体_GB2312"/>
          <w:smallCaps w:val="0"/>
          <w:szCs w:val="32"/>
        </w:rPr>
        <w:t>74</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5FACBE92">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"_Toc5068" </w:instrText>
      </w:r>
      <w:r>
        <w:fldChar w:fldCharType="separate"/>
      </w:r>
      <w:r>
        <w:rPr>
          <w:rFonts w:hint="eastAsia" w:ascii="宋体" w:hAnsi="宋体" w:cs="楷体_GB2312"/>
          <w:smallCaps w:val="0"/>
          <w:szCs w:val="32"/>
        </w:rPr>
        <w:t>五、推进社会主义民主法治建设</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_Toc5068 \h </w:instrText>
      </w:r>
      <w:r>
        <w:rPr>
          <w:rFonts w:hint="eastAsia" w:ascii="宋体" w:hAnsi="宋体" w:cs="楷体_GB2312"/>
          <w:smallCaps w:val="0"/>
          <w:szCs w:val="32"/>
        </w:rPr>
        <w:fldChar w:fldCharType="separate"/>
      </w:r>
      <w:r>
        <w:rPr>
          <w:rFonts w:hint="eastAsia" w:ascii="宋体" w:hAnsi="宋体" w:cs="楷体_GB2312"/>
          <w:smallCaps w:val="0"/>
          <w:szCs w:val="32"/>
        </w:rPr>
        <w:t>74</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0117E2E6">
      <w:pPr>
        <w:pStyle w:val="17"/>
        <w:tabs>
          <w:tab w:val="right" w:leader="dot" w:pos="8844"/>
          <w:tab w:val="clear" w:pos="8777"/>
        </w:tabs>
        <w:adjustRightInd/>
        <w:snapToGrid/>
        <w:spacing w:line="600" w:lineRule="exact"/>
        <w:ind w:left="0" w:firstLine="0" w:firstLineChars="0"/>
        <w:rPr>
          <w:rFonts w:hint="eastAsia" w:ascii="宋体" w:hAnsi="宋体" w:eastAsia="黑体" w:cs="黑体"/>
          <w:smallCaps w:val="0"/>
          <w:szCs w:val="32"/>
        </w:rPr>
      </w:pPr>
      <w:r>
        <w:fldChar w:fldCharType="begin"/>
      </w:r>
      <w:r>
        <w:instrText xml:space="preserve"> HYPERLINK \l "_Toc12261" </w:instrText>
      </w:r>
      <w:r>
        <w:fldChar w:fldCharType="separate"/>
      </w:r>
      <w:r>
        <w:rPr>
          <w:rFonts w:hint="eastAsia" w:ascii="宋体" w:hAnsi="宋体" w:eastAsia="黑体" w:cs="黑体"/>
          <w:smallCaps w:val="0"/>
          <w:szCs w:val="32"/>
        </w:rPr>
        <w:t>第十一章 加强党的全面领导，团结奋斗谱写中国式现代化槐荫实践新篇章</w:t>
      </w:r>
      <w:r>
        <w:rPr>
          <w:rFonts w:hint="eastAsia" w:ascii="宋体" w:hAnsi="宋体" w:eastAsia="黑体" w:cs="黑体"/>
          <w:smallCaps w:val="0"/>
          <w:szCs w:val="32"/>
        </w:rPr>
        <w:tab/>
      </w:r>
      <w:r>
        <w:rPr>
          <w:rFonts w:hint="eastAsia" w:ascii="宋体" w:hAnsi="宋体" w:eastAsia="黑体" w:cs="黑体"/>
          <w:smallCaps w:val="0"/>
          <w:szCs w:val="32"/>
        </w:rPr>
        <w:fldChar w:fldCharType="begin"/>
      </w:r>
      <w:r>
        <w:rPr>
          <w:rFonts w:hint="eastAsia" w:ascii="宋体" w:hAnsi="宋体" w:eastAsia="黑体" w:cs="黑体"/>
          <w:smallCaps w:val="0"/>
          <w:szCs w:val="32"/>
        </w:rPr>
        <w:instrText xml:space="preserve"> PAGEREF _Toc12261 \h </w:instrText>
      </w:r>
      <w:r>
        <w:rPr>
          <w:rFonts w:hint="eastAsia" w:ascii="宋体" w:hAnsi="宋体" w:eastAsia="黑体" w:cs="黑体"/>
          <w:smallCaps w:val="0"/>
          <w:szCs w:val="32"/>
        </w:rPr>
        <w:fldChar w:fldCharType="separate"/>
      </w:r>
      <w:r>
        <w:rPr>
          <w:rFonts w:hint="eastAsia" w:ascii="宋体" w:hAnsi="宋体" w:eastAsia="黑体" w:cs="黑体"/>
          <w:smallCaps w:val="0"/>
          <w:szCs w:val="32"/>
        </w:rPr>
        <w:t>76</w:t>
      </w:r>
      <w:r>
        <w:rPr>
          <w:rFonts w:hint="eastAsia" w:ascii="宋体" w:hAnsi="宋体" w:eastAsia="黑体" w:cs="黑体"/>
          <w:smallCaps w:val="0"/>
          <w:szCs w:val="32"/>
        </w:rPr>
        <w:fldChar w:fldCharType="end"/>
      </w:r>
      <w:r>
        <w:rPr>
          <w:rFonts w:hint="eastAsia" w:ascii="宋体" w:hAnsi="宋体" w:eastAsia="黑体" w:cs="黑体"/>
          <w:smallCaps w:val="0"/>
          <w:szCs w:val="32"/>
        </w:rPr>
        <w:fldChar w:fldCharType="end"/>
      </w:r>
    </w:p>
    <w:p w14:paraId="0C684EB3">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"_Toc17946" </w:instrText>
      </w:r>
      <w:r>
        <w:fldChar w:fldCharType="separate"/>
      </w:r>
      <w:r>
        <w:rPr>
          <w:rFonts w:hint="eastAsia" w:ascii="宋体" w:hAnsi="宋体" w:cs="楷体_GB2312"/>
          <w:smallCaps w:val="0"/>
          <w:szCs w:val="32"/>
        </w:rPr>
        <w:t>一、加强党的全面领导</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_Toc17946 \h </w:instrText>
      </w:r>
      <w:r>
        <w:rPr>
          <w:rFonts w:hint="eastAsia" w:ascii="宋体" w:hAnsi="宋体" w:cs="楷体_GB2312"/>
          <w:smallCaps w:val="0"/>
          <w:szCs w:val="32"/>
        </w:rPr>
        <w:fldChar w:fldCharType="separate"/>
      </w:r>
      <w:r>
        <w:rPr>
          <w:rFonts w:hint="eastAsia" w:ascii="宋体" w:hAnsi="宋体" w:cs="楷体_GB2312"/>
          <w:smallCaps w:val="0"/>
          <w:szCs w:val="32"/>
        </w:rPr>
        <w:t>76</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189FE4E6">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"_Toc19376" </w:instrText>
      </w:r>
      <w:r>
        <w:fldChar w:fldCharType="separate"/>
      </w:r>
      <w:r>
        <w:rPr>
          <w:rFonts w:hint="eastAsia" w:ascii="宋体" w:hAnsi="宋体" w:cs="楷体_GB2312"/>
          <w:smallCaps w:val="0"/>
          <w:szCs w:val="32"/>
        </w:rPr>
        <w:t>二、强化规划实施监督</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_Toc19376 \h </w:instrText>
      </w:r>
      <w:r>
        <w:rPr>
          <w:rFonts w:hint="eastAsia" w:ascii="宋体" w:hAnsi="宋体" w:cs="楷体_GB2312"/>
          <w:smallCaps w:val="0"/>
          <w:szCs w:val="32"/>
        </w:rPr>
        <w:fldChar w:fldCharType="separate"/>
      </w:r>
      <w:r>
        <w:rPr>
          <w:rFonts w:hint="eastAsia" w:ascii="宋体" w:hAnsi="宋体" w:cs="楷体_GB2312"/>
          <w:smallCaps w:val="0"/>
          <w:szCs w:val="32"/>
        </w:rPr>
        <w:t>77</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491D0F8D">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"_Toc2878" </w:instrText>
      </w:r>
      <w:r>
        <w:fldChar w:fldCharType="separate"/>
      </w:r>
      <w:r>
        <w:rPr>
          <w:rFonts w:hint="eastAsia" w:ascii="宋体" w:hAnsi="宋体" w:cs="楷体_GB2312"/>
          <w:smallCaps w:val="0"/>
          <w:szCs w:val="32"/>
        </w:rPr>
        <w:t>三、强化重大项目支撑</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_Toc2878 \h </w:instrText>
      </w:r>
      <w:r>
        <w:rPr>
          <w:rFonts w:hint="eastAsia" w:ascii="宋体" w:hAnsi="宋体" w:cs="楷体_GB2312"/>
          <w:smallCaps w:val="0"/>
          <w:szCs w:val="32"/>
        </w:rPr>
        <w:fldChar w:fldCharType="separate"/>
      </w:r>
      <w:r>
        <w:rPr>
          <w:rFonts w:hint="eastAsia" w:ascii="宋体" w:hAnsi="宋体" w:cs="楷体_GB2312"/>
          <w:smallCaps w:val="0"/>
          <w:szCs w:val="32"/>
        </w:rPr>
        <w:t>78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7AEA7B0F">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pPr>
      <w:r>
        <w:fldChar w:fldCharType="begin"/>
      </w:r>
      <w:r>
        <w:instrText xml:space="preserve"> HYPERLINK \l "_Toc8405" </w:instrText>
      </w:r>
      <w:r>
        <w:fldChar w:fldCharType="separate"/>
      </w:r>
      <w:r>
        <w:rPr>
          <w:rFonts w:hint="eastAsia" w:ascii="宋体" w:hAnsi="宋体" w:cs="楷体_GB2312"/>
          <w:smallCaps w:val="0"/>
          <w:szCs w:val="32"/>
        </w:rPr>
        <w:t>四、营造良好发展氛围</w:t>
      </w:r>
      <w:r>
        <w:rPr>
          <w:rFonts w:hint="eastAsia" w:ascii="宋体" w:hAnsi="宋体" w:cs="楷体_GB2312"/>
          <w:smallCaps w:val="0"/>
          <w:szCs w:val="32"/>
        </w:rPr>
        <w:tab/>
      </w:r>
      <w:r>
        <w:rPr>
          <w:rFonts w:hint="eastAsia" w:ascii="宋体" w:hAnsi="宋体" w:cs="楷体_GB2312"/>
          <w:smallCaps w:val="0"/>
          <w:szCs w:val="32"/>
        </w:rPr>
        <w:fldChar w:fldCharType="begin"/>
      </w:r>
      <w:r>
        <w:rPr>
          <w:rFonts w:hint="eastAsia" w:ascii="宋体" w:hAnsi="宋体" w:cs="楷体_GB2312"/>
          <w:smallCaps w:val="0"/>
          <w:szCs w:val="32"/>
        </w:rPr>
        <w:instrText xml:space="preserve"> PAGEREF _Toc8405 \h </w:instrText>
      </w:r>
      <w:r>
        <w:rPr>
          <w:rFonts w:hint="eastAsia" w:ascii="宋体" w:hAnsi="宋体" w:cs="楷体_GB2312"/>
          <w:smallCaps w:val="0"/>
          <w:szCs w:val="32"/>
        </w:rPr>
        <w:fldChar w:fldCharType="separate"/>
      </w:r>
      <w:r>
        <w:rPr>
          <w:rFonts w:hint="eastAsia" w:ascii="宋体" w:hAnsi="宋体" w:cs="楷体_GB2312"/>
          <w:smallCaps w:val="0"/>
          <w:szCs w:val="32"/>
        </w:rPr>
        <w:t>78</w:t>
      </w:r>
      <w:r>
        <w:rPr>
          <w:rFonts w:hint="eastAsia" w:ascii="宋体" w:hAnsi="宋体" w:cs="楷体_GB2312"/>
          <w:smallCaps w:val="0"/>
          <w:szCs w:val="32"/>
        </w:rPr>
        <w:fldChar w:fldCharType="end"/>
      </w:r>
      <w:r>
        <w:rPr>
          <w:rFonts w:hint="eastAsia" w:ascii="宋体" w:hAnsi="宋体" w:cs="楷体_GB2312"/>
          <w:smallCaps w:val="0"/>
          <w:szCs w:val="32"/>
        </w:rPr>
        <w:fldChar w:fldCharType="end"/>
      </w:r>
    </w:p>
    <w:p w14:paraId="107FE716">
      <w:pPr>
        <w:pStyle w:val="17"/>
        <w:tabs>
          <w:tab w:val="right" w:leader="dot" w:pos="8844"/>
          <w:tab w:val="clear" w:pos="8777"/>
        </w:tabs>
        <w:adjustRightInd/>
        <w:snapToGrid/>
        <w:spacing w:line="600" w:lineRule="exact"/>
        <w:ind w:left="0" w:firstLine="640"/>
        <w:rPr>
          <w:rFonts w:hint="eastAsia" w:ascii="宋体" w:hAnsi="宋体" w:cs="楷体_GB2312"/>
          <w:smallCaps w:val="0"/>
          <w:szCs w:val="32"/>
        </w:rPr>
        <w:sectPr>
          <w:footerReference r:id="rId11" w:type="default"/>
          <w:pgSz w:w="11906" w:h="16838"/>
          <w:pgMar w:top="2098" w:right="1474" w:bottom="1984" w:left="1587" w:header="851" w:footer="992" w:gutter="0"/>
          <w:pgNumType w:fmt="upperRoman" w:start="1"/>
          <w:cols w:space="425" w:num="1"/>
          <w:docGrid w:type="lines" w:linePitch="312" w:charSpace="0"/>
        </w:sectPr>
      </w:pPr>
      <w:r>
        <w:rPr>
          <w:rFonts w:hint="eastAsia" w:ascii="宋体" w:hAnsi="宋体" w:cs="楷体_GB2312"/>
          <w:smallCaps w:val="0"/>
          <w:szCs w:val="32"/>
        </w:rPr>
        <w:fldChar w:fldCharType="end"/>
      </w:r>
    </w:p>
    <w:p w14:paraId="15D0FB8E">
      <w:pPr>
        <w:ind w:firstLine="640"/>
        <w:rPr>
          <w:rFonts w:ascii="Times New Roman" w:hAnsi="Times New Roman"/>
        </w:rPr>
      </w:pPr>
      <w:bookmarkStart w:id="0" w:name="_Toc51921949"/>
      <w:bookmarkStart w:id="1" w:name="_Toc8029"/>
      <w:bookmarkStart w:id="2" w:name="_Toc6315"/>
      <w:bookmarkStart w:id="3" w:name="_Toc6318"/>
      <w:bookmarkStart w:id="4" w:name="_Toc4032"/>
      <w:bookmarkStart w:id="5" w:name="_Toc1078"/>
      <w:bookmarkStart w:id="6" w:name="_Toc22875"/>
      <w:r>
        <w:rPr>
          <w:rFonts w:hint="eastAsia" w:ascii="Times New Roman" w:hAnsi="Times New Roman"/>
        </w:rPr>
        <w:t>槐荫区国民经济和社会发展第十五个五年（2026—2030年）规划纲要，以习近平新时代中国特色社会主义思想为指导，深入学习贯彻党的二十届四中全会精神，全面贯彻落实省委十二届十次全会精神、市委十二届九次全会精神，根据《中共槐荫区委关于制定槐荫区国民经济和社会发展第十五个五年规划的建议》编制，主要阐明区委、区政府战略意图，明确政府工作重点，引导规范经营主体行为，是“十五五”时期现代化强区建设的宏伟蓝图，是全区人民共同的行动纲领。</w:t>
      </w:r>
    </w:p>
    <w:p w14:paraId="0D4F31C8">
      <w:pPr>
        <w:ind w:firstLine="640"/>
        <w:rPr>
          <w:rFonts w:ascii="Times New Roman" w:hAnsi="Times New Roman"/>
        </w:rPr>
      </w:pPr>
    </w:p>
    <w:bookmarkEnd w:id="0"/>
    <w:p w14:paraId="32358C2A">
      <w:pPr>
        <w:pStyle w:val="2"/>
        <w:numPr>
          <w:ilvl w:val="255"/>
          <w:numId w:val="0"/>
        </w:numPr>
        <w:spacing w:line="580" w:lineRule="exact"/>
        <w:jc w:val="center"/>
        <w:rPr>
          <w:rFonts w:ascii="Times New Roman" w:hAnsi="Times New Roman" w:eastAsia="方正小标宋简体" w:cs="Times New Roman"/>
          <w:bCs/>
          <w:kern w:val="2"/>
          <w:sz w:val="36"/>
          <w:szCs w:val="36"/>
        </w:rPr>
      </w:pPr>
      <w:bookmarkStart w:id="7" w:name="_Toc9507"/>
      <w:r>
        <w:rPr>
          <w:rFonts w:hint="eastAsia" w:ascii="Times New Roman" w:hAnsi="Times New Roman" w:eastAsia="方正小标宋简体" w:cs="Times New Roman"/>
          <w:bCs/>
          <w:kern w:val="2"/>
          <w:sz w:val="36"/>
          <w:szCs w:val="36"/>
        </w:rPr>
        <w:t>第一章</w:t>
      </w:r>
      <w:bookmarkEnd w:id="1"/>
      <w:bookmarkEnd w:id="2"/>
      <w:r>
        <w:rPr>
          <w:rFonts w:hint="eastAsia" w:ascii="Times New Roman" w:hAnsi="Times New Roman" w:eastAsia="方正小标宋简体" w:cs="Times New Roman"/>
          <w:bCs/>
          <w:kern w:val="2"/>
          <w:sz w:val="36"/>
          <w:szCs w:val="36"/>
        </w:rPr>
        <w:t xml:space="preserve"> 锚定新使命，奋进“强荣新和美”的新时代社会主义现代化强区建设新征程</w:t>
      </w:r>
      <w:bookmarkEnd w:id="7"/>
    </w:p>
    <w:p w14:paraId="4B4EFE2D">
      <w:pPr>
        <w:ind w:firstLine="640"/>
        <w:jc w:val="left"/>
        <w:rPr>
          <w:rFonts w:ascii="Times New Roman" w:hAnsi="Times New Roman"/>
        </w:rPr>
      </w:pPr>
    </w:p>
    <w:bookmarkEnd w:id="3"/>
    <w:bookmarkEnd w:id="4"/>
    <w:bookmarkEnd w:id="5"/>
    <w:bookmarkEnd w:id="6"/>
    <w:p w14:paraId="3079D2CD">
      <w:pPr>
        <w:tabs>
          <w:tab w:val="right" w:leader="dot" w:pos="9060"/>
        </w:tabs>
        <w:adjustRightInd/>
        <w:snapToGrid/>
        <w:ind w:firstLine="640"/>
        <w:rPr>
          <w:rFonts w:ascii="Times New Roman" w:hAnsi="Times New Roman"/>
        </w:rPr>
      </w:pPr>
      <w:r>
        <w:rPr>
          <w:rFonts w:hint="eastAsia" w:ascii="Times New Roman" w:hAnsi="Times New Roman"/>
        </w:rPr>
        <w:t>“十五五”时期是我国基本实现社会主义现代化夯实基础、全面发力的关键时期，也是全面推进强国建设、民族复兴伟业的重要攻坚期。未来五年，对于槐荫争当新时代社会主义现代化强省会建设排头兵、加快建设“强荣新和美”的新时代社会主义现代化强区具有决定性意义，是充分发挥黄河流域京沪高铁沿线主要城区、省会对外开放“桥头堡”作用和影响力，</w:t>
      </w:r>
      <w:r>
        <w:rPr>
          <w:rFonts w:hint="eastAsia" w:ascii="Times New Roman" w:hAnsi="Times New Roman"/>
          <w:highlight w:val="yellow"/>
        </w:rPr>
        <w:t>全面建设黄河流域</w:t>
      </w:r>
      <w:r>
        <w:rPr>
          <w:rFonts w:hint="eastAsia" w:ascii="Times New Roman" w:hAnsi="Times New Roman"/>
          <w:color w:val="auto"/>
          <w:highlight w:val="yellow"/>
        </w:rPr>
        <w:t>重要的</w:t>
      </w:r>
      <w:r>
        <w:rPr>
          <w:rFonts w:hint="eastAsia" w:ascii="Times New Roman" w:hAnsi="Times New Roman"/>
          <w:highlight w:val="yellow"/>
        </w:rPr>
        <w:t>中心城市一流城区、高水平打造“齐鲁门户，医养之都”的关键阶段</w:t>
      </w:r>
      <w:r>
        <w:rPr>
          <w:rFonts w:hint="eastAsia" w:ascii="Times New Roman" w:hAnsi="Times New Roman"/>
        </w:rPr>
        <w:t>。必须深刻认识和准确把握“十五五”时期在槐荫现代化进程中的历史方位，用好区位、交通、产业、生态、文化等独特优势，以更高标准、更严要求、更实作风，补齐产业体系、项目招引、民生保障等短板弱项，推动事关全局、事关长远的战略任务取得重大突破、迈上更高台阶，在新征程上全面推进中国式现代化槐荫实践。</w:t>
      </w:r>
    </w:p>
    <w:p w14:paraId="4C98BCC4">
      <w:pPr>
        <w:pStyle w:val="3"/>
        <w:tabs>
          <w:tab w:val="right" w:leader="dot" w:pos="9060"/>
        </w:tabs>
        <w:adjustRightInd/>
        <w:snapToGrid/>
        <w:ind w:firstLine="640"/>
        <w:rPr>
          <w:rFonts w:ascii="Times New Roman" w:hAnsi="Times New Roman" w:eastAsia="黑体" w:cs="Times New Roman"/>
          <w:bCs/>
          <w:kern w:val="2"/>
          <w:szCs w:val="32"/>
        </w:rPr>
      </w:pPr>
      <w:bookmarkStart w:id="8" w:name="_Toc31627"/>
      <w:r>
        <w:rPr>
          <w:rFonts w:hint="eastAsia" w:ascii="Times New Roman" w:hAnsi="Times New Roman" w:eastAsia="黑体" w:cs="Times New Roman"/>
          <w:bCs/>
          <w:kern w:val="2"/>
          <w:szCs w:val="32"/>
        </w:rPr>
        <w:t>一、发展基础</w:t>
      </w:r>
      <w:bookmarkEnd w:id="8"/>
    </w:p>
    <w:p w14:paraId="1A8E912F">
      <w:pPr>
        <w:ind w:firstLine="640"/>
        <w:rPr>
          <w:rFonts w:ascii="Times New Roman" w:hAnsi="Times New Roman"/>
        </w:rPr>
      </w:pPr>
      <w:r>
        <w:rPr>
          <w:rFonts w:hint="eastAsia" w:ascii="Times New Roman" w:hAnsi="Times New Roman"/>
        </w:rPr>
        <w:t>“十四五”时期，是全区发展历史上极不寻常、极不平凡的五年。五年来，区委、区政府始终坚持以习近平新时代中国特色社会主义思想为指导，认真贯彻落实习近平总书记对山东、对济南工作重要指示要求，牢牢把握中国式现代化的科学内涵、本质要求和高质量发展首要任务，锚定“125510”发展思路不动摇，鲜明提出“</w:t>
      </w:r>
      <w:r>
        <w:rPr>
          <w:rFonts w:hint="eastAsia" w:ascii="Times New Roman" w:hAnsi="Times New Roman"/>
          <w:highlight w:val="yellow"/>
        </w:rPr>
        <w:t>争当强省会建设排头兵，高水平建设‘齐鲁门户，医养之都’”目标任务</w:t>
      </w:r>
      <w:r>
        <w:rPr>
          <w:rFonts w:hint="eastAsia" w:ascii="Times New Roman" w:hAnsi="Times New Roman"/>
        </w:rPr>
        <w:t>，接续实施“抓项目强产业攻坚提升年”“抓项目强产业深化落实年”“抓项目强产业提质创优年”，团结带领全区70万干部群众奋战“五大主战场”，滚动实施“十大重点行动”，“十四五”规划圆满收官，全区经济社会发展取得新成就。</w:t>
      </w:r>
    </w:p>
    <w:p w14:paraId="6A6473B7">
      <w:pPr>
        <w:ind w:firstLine="640"/>
        <w:rPr>
          <w:rFonts w:ascii="Times New Roman" w:hAnsi="Times New Roman"/>
          <w:szCs w:val="32"/>
        </w:rPr>
      </w:pPr>
      <w:r>
        <w:rPr>
          <w:rFonts w:hint="eastAsia" w:ascii="Times New Roman" w:hAnsi="Times New Roman" w:eastAsia="楷体_GB2312"/>
          <w:szCs w:val="32"/>
        </w:rPr>
        <w:t>（一）综合实力显著增强。</w:t>
      </w:r>
      <w:r>
        <w:rPr>
          <w:rFonts w:hint="eastAsia" w:ascii="Times New Roman" w:hAnsi="Times New Roman"/>
        </w:rPr>
        <w:t>“十四五”期间，全区经济克难前行、持续向好、量质齐升，发展韧性和活力进一步显现。全区地区生产总值将连续跨过3个百亿级台阶，2025年预计超900亿元；一般公共预算收入完成58.87亿元，年均增长0.05%，税收占地方财政收入比重达85%。坚持“项目为王”理念，落地建设重点项目155个，总投资约1365亿元。金融优势持续巩固，金融业增加值36.5亿元，全区金融机构52家，银行贷款余额持续增长，达到1322.42亿元。</w:t>
      </w:r>
      <w:r>
        <w:rPr>
          <w:rFonts w:hint="eastAsia" w:ascii="Times New Roman" w:hAnsi="Times New Roman"/>
          <w:highlight w:val="none"/>
        </w:rPr>
        <w:t>经营主体规模稳步提升，经营主体突破14.8万户。黄河流域生态保护和高质量发展</w:t>
      </w:r>
      <w:r>
        <w:rPr>
          <w:rFonts w:hint="eastAsia" w:ascii="Times New Roman" w:hAnsi="Times New Roman"/>
          <w:spacing w:val="-6"/>
          <w:szCs w:val="32"/>
          <w:highlight w:val="none"/>
        </w:rPr>
        <w:t>战略深入</w:t>
      </w:r>
      <w:r>
        <w:rPr>
          <w:rFonts w:hint="eastAsia" w:ascii="Times New Roman" w:hAnsi="Times New Roman"/>
          <w:spacing w:val="-6"/>
          <w:szCs w:val="32"/>
        </w:rPr>
        <w:t>实施，完成长平滩区护城堤工程、杨庄险工提升改造工程建设，建成曹家圈防汛文化广场，进一步弘扬黄河文化。全区先后荣获</w:t>
      </w:r>
      <w:r>
        <w:rPr>
          <w:rFonts w:hint="eastAsia" w:ascii="Times New Roman" w:hAnsi="Times New Roman"/>
        </w:rPr>
        <w:t>全国首批“国家知识产权强县建设试点示范县”、国家第七批生态文明建设示范区、全国医养结合示范县（市、区）、中国市辖区旅游综合竞争力百强区、山东省全域旅游示范区、全省县域经济综合评价“高质量发展进步县”、全省基层治理实验区等荣誉。</w:t>
      </w:r>
    </w:p>
    <w:p w14:paraId="2AB823CD">
      <w:pPr>
        <w:widowControl/>
        <w:ind w:firstLine="640"/>
        <w:rPr>
          <w:rFonts w:ascii="Times New Roman" w:hAnsi="Times New Roman"/>
          <w:szCs w:val="32"/>
        </w:rPr>
      </w:pPr>
      <w:r>
        <w:rPr>
          <w:rFonts w:hint="eastAsia" w:ascii="Times New Roman" w:hAnsi="Times New Roman" w:eastAsia="楷体_GB2312"/>
          <w:szCs w:val="32"/>
        </w:rPr>
        <w:t>（二）产业体系加快完善。</w:t>
      </w:r>
      <w:r>
        <w:rPr>
          <w:rFonts w:hint="eastAsia" w:ascii="Times New Roman" w:hAnsi="Times New Roman"/>
          <w:szCs w:val="32"/>
        </w:rPr>
        <w:t>“十四五”期间，深度融入全市“13+34”产业链，“433”现代化产业体系日趋完善，济南先进材料智造港（一期）、正泰恒、元山电子等一批重大产业链项目建成投产，山东数字金融产业园、槐荫人力资源服务产业园等生产性服务业载体集聚效应初显。高新技术产业产值占规上工业产值比重达87.55%。全社会消费品零售总额持续稳定在600多亿元、稳居全市前三。现代服务业提质增效，服务业占GDP比重从2020年的*%提高到*%，规模以上服务业企业数量达到168家。“一院四馆”成为省会文艺顶流打卡地，济南方特东方神画景区获评“国家级夜间文旅消费集聚区”，印象济南·泉世界获评“国家级旅游休闲街区”、山东首个“国家级‘文艺两新’集聚区实践基地”</w:t>
      </w:r>
      <w:r>
        <w:rPr>
          <w:rFonts w:hint="eastAsia"/>
        </w:rPr>
        <w:t>、</w:t>
      </w:r>
      <w:r>
        <w:rPr>
          <w:rFonts w:hint="eastAsia" w:ascii="Times New Roman" w:hAnsi="Times New Roman"/>
          <w:szCs w:val="32"/>
        </w:rPr>
        <w:t>“国家级夜间文旅消费集聚区”，建成龙湖济南西城天街、弘阳广场等城市消费新地标。数实融合深度赋能，5G基站累计达6100处，全区规上工业企业数字化转型覆盖率达到82.4%，开创云数字经济平台、北方中心大数据平台获评山东省数字经济重点项目。积极布局人工智能、生命科学等新赛道，脑机接口临床与转化中心成功落地，山东大学国家医学攻关产教融合创新平台加快建设，济南国际医学中心大学科技园开园运营，为产业体系注入全新活力。</w:t>
      </w:r>
    </w:p>
    <w:p w14:paraId="75422DA9">
      <w:pPr>
        <w:ind w:firstLine="640"/>
        <w:rPr>
          <w:rFonts w:ascii="Times New Roman" w:hAnsi="Times New Roman"/>
          <w:kern w:val="2"/>
          <w:szCs w:val="40"/>
        </w:rPr>
      </w:pPr>
      <w:r>
        <w:rPr>
          <w:rFonts w:hint="eastAsia" w:ascii="Times New Roman" w:hAnsi="Times New Roman" w:eastAsia="楷体_GB2312"/>
          <w:szCs w:val="32"/>
        </w:rPr>
        <w:t>（三）</w:t>
      </w:r>
      <w:bookmarkStart w:id="9" w:name="OLE_LINK12"/>
      <w:r>
        <w:rPr>
          <w:rFonts w:hint="eastAsia" w:ascii="Times New Roman" w:hAnsi="Times New Roman" w:eastAsia="楷体_GB2312"/>
          <w:szCs w:val="32"/>
        </w:rPr>
        <w:t>片区动能更加澎湃。</w:t>
      </w:r>
      <w:bookmarkEnd w:id="9"/>
      <w:r>
        <w:rPr>
          <w:rFonts w:hint="eastAsia" w:ascii="Times New Roman" w:hAnsi="Times New Roman"/>
          <w:kern w:val="2"/>
          <w:szCs w:val="40"/>
        </w:rPr>
        <w:t>“十四五”期间，聚力五大主战场功能完善、能</w:t>
      </w:r>
      <w:r>
        <w:rPr>
          <w:rFonts w:hint="eastAsia" w:ascii="Times New Roman" w:hAnsi="Times New Roman"/>
          <w:szCs w:val="32"/>
        </w:rPr>
        <w:t>级跃升，坚持内外兼修，形成错位发展的城市空间联动格局。济南国际医学中心崛起成势，国家健康医疗大数据中心（北方）等三大国家级平台落地运营，精准医学产业园、海凭医疗器械产业园等注册企业132家，片区累计开工项目62个（不含市政道路）、总开工面积超860万平方米，入选山东省绿色低碳高质量发展先行区产业园区试点。智能制造产业区扩容提质，规划面积扩大至9.5平方公里，累计引育瞪羚企业35家、专精特新企业50家，培育国家级绿色工厂1家、省级绿色工厂3家，获评国家级、省级绿色工业园区、市级集成电路产业集聚区。济南西站枢纽经济商务区日新月异，中央文化区加快建设，山东国际会展中心年均办展80余场、主要经营指标位居全省会展场馆首位，片区累计落户央企16家、世界500强3家、国内500强4家。百年商埠历史文化区焕发新颜，济南开埠博物馆建成投用，老商埠片区福音里、省立医院南地块等片区改造提升加速推进，特色文旅IP持续擦亮。乡村振兴示范区和美宜居，国家级科技小院、省级生态农场等13个科研示范基地成功落地，“河创田园”泉韵乡居省级示范区规划经验获全国推广，全区建成乡村振兴齐鲁样板村12个、省级美丽乡村示范村6个。</w:t>
      </w:r>
    </w:p>
    <w:p w14:paraId="06DEA376">
      <w:pPr>
        <w:ind w:firstLine="640"/>
        <w:rPr>
          <w:rFonts w:ascii="Times New Roman" w:hAnsi="Times New Roman"/>
        </w:rPr>
      </w:pPr>
      <w:r>
        <w:rPr>
          <w:rFonts w:hint="eastAsia" w:ascii="Times New Roman" w:hAnsi="Times New Roman" w:eastAsia="楷体_GB2312"/>
          <w:szCs w:val="32"/>
        </w:rPr>
        <w:t>（四）改革创新强力赋能。</w:t>
      </w:r>
      <w:r>
        <w:rPr>
          <w:rFonts w:hint="eastAsia" w:ascii="Times New Roman" w:hAnsi="Times New Roman"/>
          <w:szCs w:val="32"/>
        </w:rPr>
        <w:t>“十四五”期间，全面深化改革牵引作用持续增强、创新亮点持续增多，国家计生协地方计生协综合改革试点、传染病防控医防协同医防融合试点等一批国家、省、市级改革试点扎实推进。重点领域改革不断突破，零基预算改革顺利实施，不断强化重大战略任务和基本民生财力保障力度；深入推进“高效办成一件事”，推动高频事项跨域通办，“宜商服务系统”平台已与37个京沪高铁沿线区县、68个黄河流域区县签订合作协议，“槐小花”政务服务实现46项高频涉企服务“楼内办”；创建“槐荫招商云名片”系统，实现投资环境“全景展示”、资源要素“一图尽览”；国企改革效能初显，槐荫城投集团法人治理结构优化，基金股权等多元投资业务不断拓展，集团资产总额同比增长34.4%。全区创新发展动能更加强劲，研究与试验发展经费投入强度提升至1.9%，国家、省、市级创新平台达到157家。</w:t>
      </w:r>
    </w:p>
    <w:p w14:paraId="26318B1C">
      <w:pPr>
        <w:ind w:firstLine="640"/>
        <w:rPr>
          <w:rFonts w:ascii="Times New Roman" w:hAnsi="Times New Roman"/>
          <w:kern w:val="2"/>
          <w:szCs w:val="40"/>
        </w:rPr>
      </w:pPr>
      <w:r>
        <w:rPr>
          <w:rFonts w:hint="eastAsia" w:ascii="Times New Roman" w:hAnsi="Times New Roman" w:eastAsia="楷体_GB2312"/>
          <w:szCs w:val="32"/>
        </w:rPr>
        <w:t>（五）生态环境持续向好。</w:t>
      </w:r>
      <w:r>
        <w:rPr>
          <w:rFonts w:hint="eastAsia" w:ascii="Times New Roman" w:hAnsi="Times New Roman"/>
        </w:rPr>
        <w:t>“十四</w:t>
      </w:r>
      <w:r>
        <w:rPr>
          <w:rFonts w:hint="eastAsia" w:ascii="Times New Roman" w:hAnsi="Times New Roman"/>
          <w:szCs w:val="32"/>
        </w:rPr>
        <w:t>五”期间，坚持生态优先、绿色发展，污染防治攻坚有力，碳达峰碳中和工作积极稳妥推进，绿色、循环、低碳发展迈出坚实步伐。蓝天、碧水、净土保卫战成效突出，强化大气污染科学分析、精准防控，强化水环境监管，国控考核河流（断面）均达到地表水Ⅲ类水体标准、水质达标率100%。厚植绿美生态底色，高品质建成经十西路汽车主题公园等20处公园游园，全区绿化覆盖率提升至42.7%，实现“出门见绿、推窗见景”。</w:t>
      </w:r>
      <w:r>
        <w:rPr>
          <w:rFonts w:hint="eastAsia" w:ascii="Times New Roman" w:hAnsi="Times New Roman"/>
          <w:kern w:val="2"/>
          <w:szCs w:val="40"/>
        </w:rPr>
        <w:t>腊山河西路北延工程、京台高速公路齐河至济南段改扩建工程开工建设，腊山河综合治理工程等获评省级美丽幸福示范河湖，槐荫获评全国村庄清洁行动先进县。绿色低碳转型步伐加快，连续</w:t>
      </w:r>
      <w:r>
        <w:rPr>
          <w:rFonts w:hint="eastAsia" w:ascii="Times New Roman" w:hAnsi="Times New Roman"/>
          <w:szCs w:val="32"/>
        </w:rPr>
        <w:t>4年超额完成单位GDP能耗下降任务，全区煤炭消费实现清零。“聊热入济”“石热入济”等重大清洁供暖管网工程顺利建设，累计可再生能源并网容量达到7万千瓦，充电桩数量达到1.2万台。精管细治成效显著，探索实施“158工作模式”，设置社区“城管工作站”105个，累计完</w:t>
      </w:r>
      <w:r>
        <w:rPr>
          <w:rFonts w:hint="eastAsia" w:ascii="Times New Roman" w:hAnsi="Times New Roman"/>
          <w:kern w:val="2"/>
          <w:szCs w:val="40"/>
        </w:rPr>
        <w:t>成34条街巷小巷整治，新建或改建垃圾分类房70处、垃圾分类亭260处。</w:t>
      </w:r>
    </w:p>
    <w:p w14:paraId="55B26F36">
      <w:pPr>
        <w:ind w:firstLine="640"/>
        <w:rPr>
          <w:rFonts w:ascii="Times New Roman" w:hAnsi="Times New Roman"/>
        </w:rPr>
      </w:pPr>
      <w:r>
        <w:rPr>
          <w:rFonts w:hint="eastAsia" w:ascii="Times New Roman" w:hAnsi="Times New Roman" w:eastAsia="楷体_GB2312"/>
          <w:szCs w:val="32"/>
        </w:rPr>
        <w:t>（六）民生福祉扎实增进。</w:t>
      </w:r>
      <w:bookmarkStart w:id="10" w:name="OLE_LINK5"/>
      <w:r>
        <w:rPr>
          <w:rFonts w:hint="eastAsia" w:ascii="Times New Roman" w:hAnsi="Times New Roman"/>
        </w:rPr>
        <w:t>“十四</w:t>
      </w:r>
      <w:r>
        <w:rPr>
          <w:rFonts w:hint="eastAsia" w:ascii="Times New Roman" w:hAnsi="Times New Roman"/>
          <w:szCs w:val="32"/>
        </w:rPr>
        <w:t>五”期间，</w:t>
      </w:r>
      <w:bookmarkEnd w:id="10"/>
      <w:r>
        <w:rPr>
          <w:rFonts w:hint="eastAsia" w:ascii="Times New Roman" w:hAnsi="Times New Roman"/>
          <w:szCs w:val="32"/>
        </w:rPr>
        <w:t>坚持以人民为中心，用力解决群众急难愁盼问题，交出了一份温暖厚重的民生答卷。累计完成重点民生实事项目100项，民生支出超180亿元，占一般公共预算支出比重年均超80%。新增就业人数10.9万，获评全省高校毕业生就业“最具吸引力”10强城区。聚焦“一老一小”，创建2个全国示范性老年友好型社区，建成区级未成年人救助保护中心。关心关爱特殊困难群体，救助残疾儿童1804人次，资助残疾学生和残疾人子女2171人次，建成全市首批残疾预防基地和残疾预防主题公园。系统实施老旧小区改造93个、惠及居民3.2万户，群众“安居梦”照进现实。</w:t>
      </w:r>
      <w:r>
        <w:rPr>
          <w:rFonts w:hint="eastAsia" w:ascii="Times New Roman" w:hAnsi="Times New Roman"/>
        </w:rPr>
        <w:t>教育强区迈出坚实步伐，新建教育设施44处，新增学位4.3万个，获评国家学前教育普及普惠县、2025年第一批全国义务教育优质均衡发展县（市、区）。医疗服务能力持续提升，</w:t>
      </w:r>
      <w:bookmarkStart w:id="11" w:name="_Hlk216129389"/>
      <w:r>
        <w:rPr>
          <w:rFonts w:hint="eastAsia" w:ascii="Times New Roman" w:hAnsi="Times New Roman"/>
        </w:rPr>
        <w:t>完成30家村卫生室“七有四提升”改造，</w:t>
      </w:r>
      <w:bookmarkEnd w:id="11"/>
      <w:r>
        <w:rPr>
          <w:rFonts w:hint="eastAsia" w:ascii="Times New Roman" w:hAnsi="Times New Roman"/>
        </w:rPr>
        <w:t>建成全市首个区级区域检验中心，</w:t>
      </w:r>
      <w:bookmarkStart w:id="12" w:name="_Hlk216129411"/>
      <w:r>
        <w:rPr>
          <w:rFonts w:hint="eastAsia" w:ascii="Times New Roman" w:hAnsi="Times New Roman"/>
        </w:rPr>
        <w:t>“红领医养”品牌深入人心。</w:t>
      </w:r>
      <w:bookmarkEnd w:id="12"/>
      <w:r>
        <w:rPr>
          <w:rFonts w:hint="eastAsia" w:ascii="Times New Roman" w:hAnsi="Times New Roman"/>
        </w:rPr>
        <w:t>体育事业蓬勃发展，累计建成400余处各类体育场地、714块“三大球”场地，济南森林公园智慧体育场地等项目成为全国智慧体育与体健融合的标杆案例。社会大局保持稳定，基层治理效能全面提升，群众获得感幸福感安全感不断增强。同时，双拥、慈善、红十字、民族宗教、档案史志、国防动员、东西部协作等工作取得新进展。</w:t>
      </w:r>
    </w:p>
    <w:p w14:paraId="396153BE">
      <w:pPr>
        <w:ind w:firstLine="640"/>
        <w:rPr>
          <w:rFonts w:ascii="Times New Roman" w:hAnsi="Times New Roman"/>
        </w:rPr>
      </w:pPr>
      <w:r>
        <w:rPr>
          <w:rFonts w:hint="eastAsia" w:ascii="Times New Roman" w:hAnsi="Times New Roman" w:eastAsia="楷体_GB2312"/>
          <w:szCs w:val="32"/>
        </w:rPr>
        <w:t>（七）党的建设全面加强。</w:t>
      </w:r>
      <w:r>
        <w:rPr>
          <w:rFonts w:hint="eastAsia" w:ascii="Times New Roman" w:hAnsi="Times New Roman"/>
        </w:rPr>
        <w:t>政治建设持续深化，党的创新理论深入人心，党建引领高质量发展、高水平治理成效不断凸显，民主法治建设迈上新台阶。全面从严治党向纵深发展，“三不腐”防线不断巩固，群众身边不正之风和腐败问题集中整治、为基层减负等工作取得显著成效，事争一流、唯旗是夺的精气神在全区蔚然成风。这些成就的取得，根本在于以习近平同志为核心的党中央领航掌舵，在于习近平新时代中国特色社会主义思想科学指引，是历届区委、区政府接续奋斗、全区人民共同奋斗的结果。</w:t>
      </w:r>
    </w:p>
    <w:p w14:paraId="65D673CB">
      <w:pPr>
        <w:pStyle w:val="3"/>
        <w:tabs>
          <w:tab w:val="right" w:leader="dot" w:pos="9060"/>
        </w:tabs>
        <w:ind w:firstLine="640"/>
        <w:rPr>
          <w:rFonts w:ascii="Times New Roman" w:hAnsi="Times New Roman" w:eastAsia="黑体" w:cs="Times New Roman"/>
          <w:bCs/>
          <w:kern w:val="2"/>
          <w:szCs w:val="32"/>
        </w:rPr>
      </w:pPr>
      <w:bookmarkStart w:id="13" w:name="_Toc13649"/>
      <w:bookmarkStart w:id="14" w:name="_Toc10976"/>
      <w:bookmarkStart w:id="15" w:name="_Toc23804"/>
      <w:bookmarkStart w:id="16" w:name="_Toc25163"/>
      <w:bookmarkStart w:id="17" w:name="_Toc20092"/>
      <w:bookmarkStart w:id="18" w:name="_Toc30336"/>
      <w:bookmarkStart w:id="19" w:name="_Toc14459"/>
      <w:r>
        <w:rPr>
          <w:rFonts w:hint="eastAsia" w:ascii="Times New Roman" w:hAnsi="Times New Roman" w:eastAsia="黑体" w:cs="Times New Roman"/>
          <w:bCs/>
          <w:kern w:val="2"/>
          <w:szCs w:val="32"/>
        </w:rPr>
        <w:t>二、</w:t>
      </w:r>
      <w:bookmarkEnd w:id="13"/>
      <w:bookmarkEnd w:id="14"/>
      <w:bookmarkEnd w:id="15"/>
      <w:bookmarkEnd w:id="16"/>
      <w:bookmarkEnd w:id="17"/>
      <w:bookmarkEnd w:id="18"/>
      <w:r>
        <w:rPr>
          <w:rFonts w:hint="eastAsia" w:ascii="Times New Roman" w:hAnsi="Times New Roman" w:eastAsia="黑体" w:cs="Times New Roman"/>
          <w:bCs/>
          <w:kern w:val="2"/>
          <w:szCs w:val="32"/>
        </w:rPr>
        <w:t>外部环境</w:t>
      </w:r>
      <w:bookmarkEnd w:id="19"/>
    </w:p>
    <w:p w14:paraId="6F250F6E">
      <w:pPr>
        <w:ind w:firstLine="640"/>
        <w:rPr>
          <w:rFonts w:ascii="Times New Roman" w:hAnsi="Times New Roman"/>
        </w:rPr>
      </w:pPr>
      <w:r>
        <w:rPr>
          <w:rFonts w:hint="eastAsia" w:ascii="Times New Roman" w:hAnsi="Times New Roman"/>
        </w:rPr>
        <w:t>当前和今后一个时期，槐荫发展处于战略机遇与风险挑战并存、不确定难预料因素增多的时期。</w:t>
      </w:r>
    </w:p>
    <w:p w14:paraId="7BCDE33F">
      <w:pPr>
        <w:ind w:firstLine="640"/>
        <w:rPr>
          <w:rFonts w:ascii="Times New Roman" w:hAnsi="Times New Roman"/>
        </w:rPr>
      </w:pPr>
      <w:r>
        <w:rPr>
          <w:rFonts w:hint="eastAsia" w:ascii="Times New Roman" w:hAnsi="Times New Roman"/>
        </w:rPr>
        <w:t>从国际看，世界百年变局加速演进，国际力量对比深刻调整，新一轮科技革命和产业变革加速突破。同时，世界变乱交织、动荡加剧，国际经济贸易秩序遇到严峻挑战，大国博弈更加复杂激烈。从国内看，我国经济基础稳、优势多、韧性强、潜能大，长期向好的支撑条件和基本趋势没有变，中国特色社会主义制度优势、超大规模市场优势、完整产业体系优势、丰富人才资源优势更加彰显。从省市看，全省推进现代化强省建设集聚多重积极因素，发展位势更加凸显、动能更加强劲、活力更加充沛、支撑更加有力；济南在加快建设“强新优富美高”新时代社会主义现代化强省会上取得明显成效，逐步形成了“十大发展优势”。</w:t>
      </w:r>
    </w:p>
    <w:p w14:paraId="2493E47F">
      <w:pPr>
        <w:ind w:firstLine="640"/>
        <w:rPr>
          <w:rFonts w:ascii="Times New Roman" w:hAnsi="Times New Roman"/>
        </w:rPr>
      </w:pPr>
      <w:r>
        <w:rPr>
          <w:rFonts w:hint="eastAsia" w:ascii="Times New Roman" w:hAnsi="Times New Roman"/>
        </w:rPr>
        <w:t>从槐荫自身来看，经过多年奋斗和积累，集聚了多重积极因素，具备多方面优势和条件。黄河流域生态保护和高质量发展重大国家战略、绿色低碳高质量发展先行区建设、济南都市圈建设、强省会建设等战略机遇叠加，京沪高铁、济郑高铁、高速、轨道交通等枢纽集聚优势持续彰显，现代化产业体系日趋完备，济南国际医学中心、济南槐荫经济开发区等重大载体支撑作用不断巩固，改革创新活力充分涌动，城乡生态环境更加宜人，人文环境日益厚重淳朴，市场化、法治化、国际化营商环境持续优化，高质量发展内生动力不断增强。同时，也要清醒认识到，发展不平衡不充分的问题仍然突出，主导产业带动作用发挥还不够，传统产业转型升级不够快，战略性新兴产业、未来产业尚未形成比较优势，工业经济过度依赖骨干型企业，生产性服务业发展支撑不足，民营经济规模、活力不强，有效需求不足，改革开放力度成效还有待进一步挖潜，乡村全面振兴还有差距，民生保障存在短板，统筹发展和安全还有薄弱环节。面向未来，全区上下要深刻领悟“两个确立”的决定性意义，增强“四个意识”、坚定“四个自信”、做到“两个维护”，保持战略定力，增强必胜信心，积极识变应变求变，以“功成不必在我”的精神境界和“功成必定有我”的历史担当，集中精力办好自己的事，持续用力强化长板优势，久久为功补齐短板，圆满完成“十五五”时期阶段性目标，在服务国家和省市发展大局、助力济南加快新时代社会主义现代化强省会建设中展现更大担当、作出更大贡献。</w:t>
      </w:r>
    </w:p>
    <w:p w14:paraId="58B1924F">
      <w:pPr>
        <w:pStyle w:val="3"/>
        <w:ind w:firstLine="640"/>
        <w:rPr>
          <w:rFonts w:ascii="Times New Roman" w:hAnsi="Times New Roman" w:eastAsia="黑体" w:cs="Times New Roman"/>
          <w:bCs/>
          <w:kern w:val="2"/>
          <w:szCs w:val="32"/>
        </w:rPr>
      </w:pPr>
      <w:bookmarkStart w:id="20" w:name="_Toc14235"/>
      <w:bookmarkStart w:id="21" w:name="_Toc32526"/>
      <w:bookmarkStart w:id="22" w:name="_Toc28317"/>
      <w:bookmarkStart w:id="23" w:name="_Toc16114"/>
      <w:bookmarkStart w:id="24" w:name="_Toc24554"/>
      <w:bookmarkStart w:id="25" w:name="_Toc26454"/>
      <w:bookmarkStart w:id="26" w:name="_Toc673"/>
      <w:r>
        <w:rPr>
          <w:rFonts w:hint="eastAsia" w:ascii="Times New Roman" w:hAnsi="Times New Roman" w:eastAsia="黑体" w:cs="Times New Roman"/>
          <w:bCs/>
          <w:kern w:val="2"/>
          <w:szCs w:val="32"/>
        </w:rPr>
        <w:t>三、指导思想</w:t>
      </w:r>
      <w:bookmarkEnd w:id="20"/>
      <w:bookmarkEnd w:id="21"/>
      <w:bookmarkEnd w:id="22"/>
      <w:bookmarkEnd w:id="23"/>
      <w:bookmarkEnd w:id="24"/>
      <w:bookmarkEnd w:id="25"/>
      <w:bookmarkEnd w:id="26"/>
    </w:p>
    <w:p w14:paraId="2F46C70D">
      <w:pPr>
        <w:ind w:firstLine="640"/>
        <w:rPr>
          <w:rFonts w:ascii="Times New Roman" w:hAnsi="Times New Roman"/>
        </w:rPr>
      </w:pPr>
      <w:r>
        <w:rPr>
          <w:rFonts w:hint="eastAsia" w:ascii="Times New Roman" w:hAnsi="Times New Roman"/>
        </w:rPr>
        <w:t>坚持马克思列宁主义、毛泽东思想、邓小平理论、“三个代表”重要思想、科学发展观，全面贯彻习近平新时代中国特色社会主义思想，深入贯彻党的二十大和二十届历次全会精神，认真落实习近平总书记对山东、对济南工作的重要指示要求，统筹推进“五位一体”总体布局，协调推进“四个全面”战略布局，统筹国内国际两个大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锚定“走在前、争第一”，把因地制宜发展新质生产力摆在更加突出的战略位置，全力建设全市医学康养中心、交通枢纽新城区、生态宜居示范区，</w:t>
      </w:r>
      <w:r>
        <w:rPr>
          <w:rFonts w:hint="eastAsia" w:ascii="Times New Roman" w:hAnsi="Times New Roman"/>
        </w:rPr>
        <w:t>推动经济实现质的有效提升和量的合理增长，推动共同富裕迈出坚实步伐，确保高水平打造“齐鲁门户，医养之都”取得突破性进展，新时代社会主义现代化强区建设阔步前行。</w:t>
      </w:r>
    </w:p>
    <w:p w14:paraId="494F1C35">
      <w:pPr>
        <w:pStyle w:val="3"/>
        <w:ind w:firstLine="640"/>
        <w:rPr>
          <w:rFonts w:ascii="Times New Roman" w:hAnsi="Times New Roman" w:eastAsia="黑体" w:cs="Times New Roman"/>
          <w:bCs/>
          <w:kern w:val="2"/>
          <w:szCs w:val="32"/>
        </w:rPr>
      </w:pPr>
      <w:bookmarkStart w:id="27" w:name="_Toc29982"/>
      <w:bookmarkStart w:id="28" w:name="_Toc898"/>
      <w:bookmarkStart w:id="29" w:name="_Toc30945"/>
      <w:r>
        <w:rPr>
          <w:rFonts w:hint="eastAsia" w:ascii="Times New Roman" w:hAnsi="Times New Roman" w:eastAsia="黑体" w:cs="Times New Roman"/>
          <w:bCs/>
          <w:kern w:val="2"/>
          <w:szCs w:val="32"/>
        </w:rPr>
        <w:t>四、基本原则</w:t>
      </w:r>
      <w:bookmarkEnd w:id="27"/>
      <w:bookmarkEnd w:id="28"/>
      <w:bookmarkEnd w:id="29"/>
    </w:p>
    <w:p w14:paraId="7AF9F8F6">
      <w:pPr>
        <w:ind w:firstLine="640"/>
        <w:rPr>
          <w:rFonts w:ascii="Times New Roman" w:hAnsi="Times New Roman"/>
          <w:szCs w:val="32"/>
        </w:rPr>
      </w:pPr>
      <w:bookmarkStart w:id="30" w:name="_Toc11892"/>
      <w:bookmarkStart w:id="31" w:name="_Toc2441"/>
      <w:r>
        <w:rPr>
          <w:rFonts w:ascii="Times New Roman" w:hAnsi="Times New Roman"/>
          <w:kern w:val="2"/>
          <w:szCs w:val="32"/>
        </w:rPr>
        <w:t>——</w:t>
      </w:r>
      <w:r>
        <w:rPr>
          <w:rFonts w:hint="eastAsia" w:ascii="Times New Roman" w:hAnsi="Times New Roman" w:eastAsia="楷体_GB2312"/>
          <w:kern w:val="2"/>
          <w:szCs w:val="32"/>
        </w:rPr>
        <w:t>坚持党的全面领导。</w:t>
      </w:r>
      <w:r>
        <w:rPr>
          <w:rFonts w:ascii="Times New Roman" w:hAnsi="Times New Roman"/>
          <w:kern w:val="2"/>
          <w:szCs w:val="32"/>
        </w:rPr>
        <w:t>坚决维护党中央权威和集中统一领导，充分发挥党总揽全局、协调各方的领导核心作用，把党的领导贯穿于规划编制实施全过程、各领域，为实现高质量发展和可持续发展提供根本保证。</w:t>
      </w:r>
    </w:p>
    <w:p w14:paraId="62D10228">
      <w:pPr>
        <w:ind w:firstLine="640"/>
        <w:rPr>
          <w:rFonts w:ascii="Times New Roman" w:hAnsi="Times New Roman"/>
          <w:szCs w:val="32"/>
        </w:rPr>
      </w:pPr>
      <w:r>
        <w:rPr>
          <w:rFonts w:ascii="Times New Roman" w:hAnsi="Times New Roman"/>
          <w:kern w:val="2"/>
          <w:szCs w:val="32"/>
        </w:rPr>
        <w:t>——</w:t>
      </w:r>
      <w:r>
        <w:rPr>
          <w:rFonts w:hint="eastAsia" w:ascii="Times New Roman" w:hAnsi="Times New Roman" w:eastAsia="楷体_GB2312"/>
          <w:kern w:val="2"/>
          <w:szCs w:val="32"/>
        </w:rPr>
        <w:t>坚持人民至上</w:t>
      </w:r>
      <w:r>
        <w:rPr>
          <w:rFonts w:ascii="Times New Roman" w:hAnsi="Times New Roman" w:eastAsia="楷体_GB2312"/>
          <w:kern w:val="2"/>
          <w:szCs w:val="32"/>
        </w:rPr>
        <w:t>。</w:t>
      </w:r>
      <w:r>
        <w:rPr>
          <w:rFonts w:hint="eastAsia" w:ascii="Times New Roman" w:hAnsi="Times New Roman"/>
          <w:kern w:val="2"/>
          <w:szCs w:val="32"/>
        </w:rPr>
        <w:t>尊重人民主体地位，维护人民根本利益，促进社会公平正义，注重在发展中保障和改善民生，推动经济和社会协调发展、物质文明和精神文明相得益彰，让现代化建设成果更多更公平惠及全体人民。</w:t>
      </w:r>
    </w:p>
    <w:p w14:paraId="074C9E10">
      <w:pPr>
        <w:ind w:firstLine="640"/>
        <w:rPr>
          <w:rFonts w:ascii="Times New Roman" w:hAnsi="Times New Roman"/>
          <w:kern w:val="2"/>
          <w:szCs w:val="32"/>
        </w:rPr>
      </w:pPr>
      <w:r>
        <w:rPr>
          <w:rFonts w:ascii="Times New Roman" w:hAnsi="Times New Roman"/>
          <w:kern w:val="2"/>
          <w:szCs w:val="32"/>
        </w:rPr>
        <w:t>——</w:t>
      </w:r>
      <w:r>
        <w:rPr>
          <w:rFonts w:hint="eastAsia" w:ascii="Times New Roman" w:hAnsi="Times New Roman" w:eastAsia="楷体_GB2312"/>
          <w:kern w:val="2"/>
          <w:szCs w:val="32"/>
        </w:rPr>
        <w:t>坚持高质量发展</w:t>
      </w:r>
      <w:r>
        <w:rPr>
          <w:rFonts w:ascii="Times New Roman" w:hAnsi="Times New Roman" w:eastAsia="楷体_GB2312"/>
          <w:kern w:val="2"/>
          <w:szCs w:val="32"/>
        </w:rPr>
        <w:t>。</w:t>
      </w:r>
      <w:r>
        <w:rPr>
          <w:rFonts w:hint="eastAsia" w:ascii="Times New Roman" w:hAnsi="Times New Roman"/>
          <w:kern w:val="2"/>
          <w:szCs w:val="32"/>
        </w:rPr>
        <w:t>以新发展理念引领发展，</w:t>
      </w:r>
      <w:r>
        <w:rPr>
          <w:rFonts w:ascii="Times New Roman" w:hAnsi="Times New Roman"/>
          <w:kern w:val="2"/>
          <w:szCs w:val="32"/>
        </w:rPr>
        <w:t>以科技创新为核心驱动力，坚定不移实施工业强区战略</w:t>
      </w:r>
      <w:r>
        <w:rPr>
          <w:rFonts w:hint="eastAsia" w:ascii="Times New Roman" w:hAnsi="Times New Roman"/>
          <w:kern w:val="2"/>
          <w:szCs w:val="32"/>
        </w:rPr>
        <w:t>，</w:t>
      </w:r>
      <w:r>
        <w:rPr>
          <w:rFonts w:ascii="Times New Roman" w:hAnsi="Times New Roman"/>
          <w:kern w:val="2"/>
          <w:szCs w:val="32"/>
        </w:rPr>
        <w:t>围绕</w:t>
      </w:r>
      <w:r>
        <w:rPr>
          <w:rFonts w:hint="eastAsia" w:ascii="Times New Roman" w:hAnsi="Times New Roman"/>
          <w:kern w:val="2"/>
          <w:szCs w:val="32"/>
        </w:rPr>
        <w:t>“433”现代化产业体系</w:t>
      </w:r>
      <w:r>
        <w:rPr>
          <w:rFonts w:ascii="Times New Roman" w:hAnsi="Times New Roman"/>
          <w:kern w:val="2"/>
          <w:szCs w:val="32"/>
        </w:rPr>
        <w:t>，</w:t>
      </w:r>
      <w:r>
        <w:rPr>
          <w:rFonts w:hint="eastAsia" w:ascii="Times New Roman" w:hAnsi="Times New Roman"/>
          <w:kern w:val="2"/>
          <w:szCs w:val="32"/>
        </w:rPr>
        <w:t>因地制宜发展新质生产力，</w:t>
      </w:r>
      <w:r>
        <w:rPr>
          <w:rFonts w:ascii="Times New Roman" w:hAnsi="Times New Roman"/>
          <w:kern w:val="2"/>
          <w:szCs w:val="32"/>
        </w:rPr>
        <w:t>加快传统产业转型升级、新兴产业规模倍增、未来产业前瞻布局，</w:t>
      </w:r>
      <w:r>
        <w:rPr>
          <w:rFonts w:hint="eastAsia" w:ascii="Times New Roman" w:hAnsi="Times New Roman"/>
          <w:kern w:val="2"/>
          <w:szCs w:val="32"/>
        </w:rPr>
        <w:t>推动经济持续健康发展和社会全面进步</w:t>
      </w:r>
      <w:r>
        <w:rPr>
          <w:rFonts w:ascii="Times New Roman" w:hAnsi="Times New Roman"/>
          <w:kern w:val="2"/>
          <w:szCs w:val="32"/>
        </w:rPr>
        <w:t>。</w:t>
      </w:r>
    </w:p>
    <w:p w14:paraId="21588403">
      <w:pPr>
        <w:ind w:firstLine="640"/>
        <w:rPr>
          <w:rFonts w:ascii="Times New Roman" w:hAnsi="Times New Roman"/>
          <w:kern w:val="2"/>
          <w:szCs w:val="32"/>
        </w:rPr>
      </w:pPr>
      <w:r>
        <w:rPr>
          <w:rFonts w:ascii="Times New Roman" w:hAnsi="Times New Roman"/>
          <w:kern w:val="2"/>
          <w:szCs w:val="32"/>
        </w:rPr>
        <w:t>——</w:t>
      </w:r>
      <w:r>
        <w:rPr>
          <w:rFonts w:hint="eastAsia" w:ascii="Times New Roman" w:hAnsi="Times New Roman" w:eastAsia="楷体_GB2312"/>
          <w:kern w:val="2"/>
          <w:szCs w:val="32"/>
        </w:rPr>
        <w:t>坚持全面深化改革。</w:t>
      </w:r>
      <w:r>
        <w:rPr>
          <w:rFonts w:hint="eastAsia" w:ascii="Times New Roman" w:hAnsi="Times New Roman"/>
          <w:kern w:val="2"/>
          <w:szCs w:val="32"/>
        </w:rPr>
        <w:t xml:space="preserve">推进深层次改革，扩大高水平开放，以经济体制改革为牵引，积极探索推进各领域改革，着力破除制约高质量发展的体制机制障碍，持续增强发展动力和社会活力。  </w:t>
      </w:r>
    </w:p>
    <w:p w14:paraId="5BCD2368">
      <w:pPr>
        <w:widowControl/>
        <w:ind w:firstLine="640"/>
        <w:jc w:val="left"/>
        <w:rPr>
          <w:rFonts w:ascii="Times New Roman" w:hAnsi="Times New Roman"/>
          <w:kern w:val="2"/>
          <w:szCs w:val="32"/>
        </w:rPr>
      </w:pPr>
      <w:r>
        <w:rPr>
          <w:rFonts w:ascii="Times New Roman" w:hAnsi="Times New Roman"/>
          <w:kern w:val="2"/>
          <w:szCs w:val="32"/>
        </w:rPr>
        <w:t>——</w:t>
      </w:r>
      <w:r>
        <w:rPr>
          <w:rFonts w:hint="eastAsia" w:ascii="Times New Roman" w:hAnsi="Times New Roman" w:eastAsia="楷体_GB2312"/>
          <w:kern w:val="2"/>
          <w:szCs w:val="32"/>
        </w:rPr>
        <w:t>坚持有效市场和有为政府相结合。</w:t>
      </w:r>
      <w:r>
        <w:rPr>
          <w:rFonts w:hint="eastAsia" w:ascii="Times New Roman" w:hAnsi="Times New Roman"/>
          <w:kern w:val="2"/>
          <w:szCs w:val="32"/>
        </w:rPr>
        <w:t>充分发挥市场在资源配置中的决定性作用，更好发挥政府作用，积极融入全国统一大市场建设，创造更加公平、更有活力的市场环境。</w:t>
      </w:r>
    </w:p>
    <w:p w14:paraId="67D42F16">
      <w:pPr>
        <w:ind w:firstLine="640"/>
        <w:rPr>
          <w:rFonts w:ascii="Times New Roman" w:hAnsi="Times New Roman"/>
          <w:kern w:val="2"/>
          <w:szCs w:val="32"/>
        </w:rPr>
      </w:pPr>
      <w:r>
        <w:rPr>
          <w:rFonts w:ascii="Times New Roman" w:hAnsi="Times New Roman"/>
          <w:kern w:val="2"/>
          <w:szCs w:val="32"/>
        </w:rPr>
        <w:t>——</w:t>
      </w:r>
      <w:r>
        <w:rPr>
          <w:rFonts w:hint="eastAsia" w:ascii="Times New Roman" w:hAnsi="Times New Roman" w:eastAsia="楷体_GB2312"/>
          <w:kern w:val="2"/>
          <w:szCs w:val="32"/>
        </w:rPr>
        <w:t>坚持统筹发展和安全</w:t>
      </w:r>
      <w:r>
        <w:rPr>
          <w:rFonts w:ascii="Times New Roman" w:hAnsi="Times New Roman" w:eastAsia="楷体_GB2312"/>
          <w:kern w:val="2"/>
          <w:szCs w:val="32"/>
        </w:rPr>
        <w:t>。</w:t>
      </w:r>
      <w:r>
        <w:rPr>
          <w:rFonts w:hint="eastAsia" w:ascii="Times New Roman" w:hAnsi="Times New Roman"/>
          <w:kern w:val="2"/>
          <w:szCs w:val="32"/>
        </w:rPr>
        <w:t>牢固树立总体国家安全观，强化底线思维，切实守牢政治安全、意识形态、财政金融、社会稳定、粮食安全、能源保供等“一排底线”，注重防范化解重大风险挑战，以新安全格局保障新发展格局。</w:t>
      </w:r>
    </w:p>
    <w:p w14:paraId="521F44D2">
      <w:pPr>
        <w:pStyle w:val="10"/>
        <w:spacing w:after="0"/>
        <w:ind w:left="0" w:leftChars="0" w:firstLine="640"/>
        <w:rPr>
          <w:rFonts w:ascii="Times New Roman" w:hAnsi="Times New Roman" w:eastAsia="仿宋_GB2312"/>
          <w:kern w:val="2"/>
          <w:sz w:val="32"/>
          <w:szCs w:val="32"/>
        </w:rPr>
      </w:pPr>
      <w:r>
        <w:rPr>
          <w:rFonts w:hint="eastAsia" w:ascii="Times New Roman" w:hAnsi="Times New Roman" w:eastAsia="仿宋_GB2312"/>
          <w:kern w:val="2"/>
          <w:sz w:val="32"/>
          <w:szCs w:val="32"/>
        </w:rPr>
        <w:t>同时立足槐荫实际，聚焦打造沿黄现代化产业体系新形态，厚植区域发展创新动能新支撑，塑造省会“西大门”开放新优势，彰显黄河流域一流城区新形象，注重融入多元战略布局差异定位、注重服务全市整体布局错位竞争、注重围绕重点领域发展勇挑大梁、注重推动城乡融合发展协调联动，推动经济持续健康发展和社会全面进步。</w:t>
      </w:r>
    </w:p>
    <w:bookmarkEnd w:id="30"/>
    <w:p w14:paraId="3EADBDC3">
      <w:pPr>
        <w:pStyle w:val="3"/>
        <w:ind w:firstLine="640"/>
        <w:rPr>
          <w:rFonts w:ascii="Times New Roman" w:hAnsi="Times New Roman" w:eastAsia="黑体" w:cs="Times New Roman"/>
          <w:bCs/>
          <w:kern w:val="2"/>
          <w:szCs w:val="32"/>
        </w:rPr>
      </w:pPr>
      <w:bookmarkStart w:id="32" w:name="_Toc32618"/>
      <w:bookmarkStart w:id="33" w:name="_Toc18924"/>
      <w:r>
        <w:rPr>
          <w:rFonts w:hint="eastAsia" w:ascii="Times New Roman" w:hAnsi="Times New Roman" w:eastAsia="黑体" w:cs="Times New Roman"/>
          <w:bCs/>
          <w:kern w:val="2"/>
          <w:szCs w:val="32"/>
          <w:lang w:val="en-US" w:eastAsia="zh-CN"/>
        </w:rPr>
        <w:t>五</w:t>
      </w:r>
      <w:r>
        <w:rPr>
          <w:rFonts w:hint="eastAsia" w:ascii="Times New Roman" w:hAnsi="Times New Roman" w:eastAsia="黑体" w:cs="Times New Roman"/>
          <w:bCs/>
          <w:kern w:val="2"/>
          <w:szCs w:val="32"/>
        </w:rPr>
        <w:t>、</w:t>
      </w:r>
      <w:bookmarkEnd w:id="31"/>
      <w:bookmarkEnd w:id="32"/>
      <w:r>
        <w:rPr>
          <w:rFonts w:hint="eastAsia" w:ascii="Times New Roman" w:hAnsi="Times New Roman" w:eastAsia="黑体" w:cs="Times New Roman"/>
          <w:bCs/>
          <w:kern w:val="2"/>
          <w:szCs w:val="32"/>
        </w:rPr>
        <w:t>发展目标</w:t>
      </w:r>
      <w:bookmarkEnd w:id="33"/>
    </w:p>
    <w:p w14:paraId="2A55A594">
      <w:pPr>
        <w:ind w:firstLine="640"/>
        <w:rPr>
          <w:rFonts w:ascii="Times New Roman" w:hAnsi="Times New Roman"/>
        </w:rPr>
      </w:pPr>
      <w:r>
        <w:rPr>
          <w:rFonts w:hint="eastAsia" w:ascii="Times New Roman" w:hAnsi="Times New Roman"/>
        </w:rPr>
        <w:t>经过五年不懈奋斗，在增强综合实力、升级产业结构、提升城市品质、增进民生福祉、改善生态环境、提高治理水平等方面取得突破性进展，“齐鲁门户，医养之都”建设成效显著，城市吸引力、影响力和美誉度持续攀升。黄河流域重要的中心城市一流城区建设再上新台阶，“强产聚能、活力欣荣、创新开放、文明和谐、美润乐享”的“强荣新和美”新时代社会主义现代化强区建设取得新成就。</w:t>
      </w:r>
    </w:p>
    <w:p w14:paraId="32BDDA09">
      <w:pPr>
        <w:ind w:firstLine="640"/>
        <w:rPr>
          <w:rFonts w:ascii="Times New Roman" w:hAnsi="Times New Roman"/>
          <w:szCs w:val="32"/>
        </w:rPr>
      </w:pPr>
      <w:r>
        <w:rPr>
          <w:rFonts w:hint="eastAsia" w:ascii="Times New Roman" w:hAnsi="Times New Roman" w:eastAsia="楷体_GB2312" w:cs="楷体_GB2312"/>
          <w:szCs w:val="32"/>
        </w:rPr>
        <w:t>——综合实力实现跃升。</w:t>
      </w:r>
      <w:r>
        <w:rPr>
          <w:rFonts w:hint="eastAsia" w:ascii="Times New Roman" w:hAnsi="Times New Roman"/>
          <w:spacing w:val="-6"/>
          <w:szCs w:val="32"/>
        </w:rPr>
        <w:t>经济保持平稳健康增长，全要素生产率稳步提升，“433”现代化产业体系竞争优势明显，产业能级、带动力持续增强，新质生产力加快发展，战略性新兴产业规模稳步提升，未来产业发展整体成势，济南国际医学中心、济南槐荫经济开发区、济南西站枢纽经济商务区成为新质生产力策源地、主阵地，积极争创国家医学中心，内需拉动经济增长主动力作用显著增强。</w:t>
      </w:r>
    </w:p>
    <w:p w14:paraId="386258BF">
      <w:pPr>
        <w:ind w:firstLine="640"/>
        <w:rPr>
          <w:rFonts w:ascii="Times New Roman" w:hAnsi="Times New Roman"/>
          <w:szCs w:val="32"/>
        </w:rPr>
      </w:pPr>
      <w:r>
        <w:rPr>
          <w:rFonts w:hint="eastAsia" w:ascii="Times New Roman" w:hAnsi="Times New Roman" w:eastAsia="楷体_GB2312" w:cs="楷体_GB2312"/>
          <w:szCs w:val="32"/>
        </w:rPr>
        <w:t>——创新活力充分涌动。</w:t>
      </w:r>
      <w:r>
        <w:rPr>
          <w:rFonts w:hint="eastAsia" w:ascii="Times New Roman" w:hAnsi="Times New Roman"/>
          <w:szCs w:val="32"/>
        </w:rPr>
        <w:t>科技创新和产业创新深度融合，创新主体培育、创新型人才队伍建设等取得重大突破，在部分主导产业领域布局建设国家重大创新平台</w:t>
      </w:r>
      <w:r>
        <w:rPr>
          <w:rFonts w:hint="eastAsia" w:ascii="Times New Roman" w:hAnsi="Times New Roman"/>
          <w:szCs w:val="32"/>
        </w:rPr>
        <w:t>，医学中心大学科技园建设成效显著，推动相关产业领域关键核心技术快速突破，科技成果转化及产业化能力全面增强，教育科技人才一体发展格局基本形成。到2030年，全社会研发投入总量达到21亿元，市级以上科创平台达到180家，人才资源总量达到25万人。</w:t>
      </w:r>
    </w:p>
    <w:p w14:paraId="2FF36A2F">
      <w:pPr>
        <w:ind w:firstLine="640"/>
        <w:rPr>
          <w:rFonts w:ascii="Times New Roman" w:hAnsi="Times New Roman"/>
          <w:szCs w:val="32"/>
        </w:rPr>
      </w:pPr>
      <w:r>
        <w:rPr>
          <w:rFonts w:hint="eastAsia" w:ascii="Times New Roman" w:hAnsi="Times New Roman" w:eastAsia="楷体_GB2312" w:cs="楷体_GB2312"/>
          <w:szCs w:val="32"/>
        </w:rPr>
        <w:t>——改革开放融通内外。</w:t>
      </w:r>
      <w:r>
        <w:rPr>
          <w:rFonts w:hint="eastAsia" w:ascii="Times New Roman" w:hAnsi="Times New Roman"/>
          <w:szCs w:val="32"/>
        </w:rPr>
        <w:t>重点领域和关键环节改革取得新的突破，要素市场化配置机制更加健全，公平竞争制度更加完善，营商环境持续优化，经营主体</w:t>
      </w:r>
      <w:r>
        <w:rPr>
          <w:rFonts w:hint="eastAsia" w:ascii="Times New Roman" w:hAnsi="Times New Roman"/>
          <w:szCs w:val="32"/>
        </w:rPr>
        <w:t>更加充满活力。对接融入京津冀、长三角取得重大进展，沿黄河流域、京沪高铁沿线、济南都市圈开放合作领域更宽、层次更深，对外贸易结构优化升级，优势出口产品竞争力进一步增强。</w:t>
      </w:r>
    </w:p>
    <w:p w14:paraId="283D5BE7">
      <w:pPr>
        <w:ind w:firstLine="640"/>
        <w:rPr>
          <w:rFonts w:ascii="Times New Roman" w:hAnsi="Times New Roman"/>
          <w:szCs w:val="32"/>
        </w:rPr>
      </w:pPr>
      <w:r>
        <w:rPr>
          <w:rFonts w:hint="eastAsia" w:ascii="Times New Roman" w:hAnsi="Times New Roman" w:eastAsia="楷体_GB2312" w:cs="楷体_GB2312"/>
          <w:szCs w:val="32"/>
        </w:rPr>
        <w:t>——城市功能品质更优。</w:t>
      </w:r>
      <w:r>
        <w:rPr>
          <w:rFonts w:hint="eastAsia" w:ascii="Times New Roman" w:hAnsi="Times New Roman"/>
          <w:szCs w:val="32"/>
        </w:rPr>
        <w:t>现代化基础设施体系更加完善，城市更新提速提质，智慧化精细化管理水平显著提高，建成一批好房子、好小区、好社区，打造宜居、美丽、韧性、文明、智慧的好城区。城乡统筹、产城融合、乡村振兴发展走在全市前列，</w:t>
      </w:r>
      <w:r>
        <w:rPr>
          <w:rFonts w:hint="eastAsia" w:ascii="Times New Roman" w:hAnsi="Times New Roman"/>
          <w:szCs w:val="32"/>
          <w:highlight w:val="yellow"/>
        </w:rPr>
        <w:t>黄河流域重要的中心城市一流城区</w:t>
      </w:r>
      <w:r>
        <w:rPr>
          <w:rFonts w:hint="eastAsia" w:ascii="Times New Roman" w:hAnsi="Times New Roman"/>
          <w:szCs w:val="32"/>
        </w:rPr>
        <w:t>的影响力、带动力、竞争力显著增强。</w:t>
      </w:r>
    </w:p>
    <w:p w14:paraId="54FB63B1">
      <w:pPr>
        <w:ind w:firstLine="640"/>
        <w:rPr>
          <w:rFonts w:ascii="Times New Roman" w:hAnsi="Times New Roman"/>
          <w:szCs w:val="32"/>
        </w:rPr>
      </w:pPr>
      <w:r>
        <w:rPr>
          <w:rFonts w:hint="eastAsia" w:ascii="Times New Roman" w:hAnsi="Times New Roman" w:eastAsia="楷体_GB2312" w:cs="楷体_GB2312"/>
          <w:szCs w:val="32"/>
        </w:rPr>
        <w:t>——生态环境美丽宜居。</w:t>
      </w:r>
      <w:r>
        <w:rPr>
          <w:rFonts w:hint="eastAsia" w:ascii="Times New Roman" w:hAnsi="Times New Roman"/>
          <w:szCs w:val="32"/>
        </w:rPr>
        <w:t>碳达峰目标如期实现，</w:t>
      </w:r>
      <w:r>
        <w:rPr>
          <w:rFonts w:hint="eastAsia" w:ascii="Times New Roman" w:hAnsi="Times New Roman"/>
          <w:szCs w:val="32"/>
        </w:rPr>
        <w:t>主要污染物排放总量持续减少，生态系统多样性稳定性显著提升，黄河流域槐荫段生态安全屏障持续筑牢，绿色低碳转型成效明显，生态环境质量持续巩固提升，绿色生产生活方式广泛形成，人与自然和谐共生更加彰显，呈现齐鲁水乡、诗意栖居生动图景。</w:t>
      </w:r>
    </w:p>
    <w:p w14:paraId="4B2C4EAC">
      <w:pPr>
        <w:ind w:firstLine="640" w:firstLineChars="0"/>
        <w:rPr>
          <w:rFonts w:ascii="Times New Roman" w:hAnsi="Times New Roman" w:eastAsia="楷体_GB2312" w:cs="楷体_GB2312"/>
          <w:szCs w:val="32"/>
        </w:rPr>
      </w:pPr>
      <w:r>
        <w:rPr>
          <w:rFonts w:hint="eastAsia" w:ascii="Times New Roman" w:hAnsi="Times New Roman" w:eastAsia="楷体_GB2312" w:cs="楷体_GB2312"/>
          <w:szCs w:val="32"/>
        </w:rPr>
        <w:t>——文明风尚牢固树立</w:t>
      </w:r>
      <w:r>
        <w:rPr>
          <w:rFonts w:hint="eastAsia" w:ascii="楷体_GB2312" w:eastAsia="楷体_GB2312"/>
          <w:bCs/>
          <w:color w:val="000000"/>
          <w:sz w:val="34"/>
          <w:szCs w:val="34"/>
        </w:rPr>
        <w:t>。</w:t>
      </w:r>
      <w:r>
        <w:rPr>
          <w:bCs/>
          <w:color w:val="000000"/>
          <w:szCs w:val="32"/>
        </w:rPr>
        <w:t>社会主义核心价值观更加深入人心，市民文明素质和城区文明程度全面提升，黄河文化、商埠文化、红色文化底蕴优势充分彰显，文化与经济社会发展各领域深度融合，</w:t>
      </w:r>
      <w:r>
        <w:rPr>
          <w:rFonts w:hint="eastAsia"/>
          <w:bCs/>
          <w:color w:val="000000"/>
          <w:szCs w:val="32"/>
        </w:rPr>
        <w:t>“一院四馆”</w:t>
      </w:r>
      <w:r>
        <w:rPr>
          <w:bCs/>
          <w:color w:val="000000"/>
          <w:szCs w:val="32"/>
        </w:rPr>
        <w:t>的显示度、影响力和竞争力显著提高，城区文化特质更加凸显、精神品格更加鲜明、人文内涵更加厚实、战略优势更加突出</w:t>
      </w:r>
      <w:r>
        <w:rPr>
          <w:rFonts w:hint="eastAsia"/>
          <w:bCs/>
          <w:color w:val="000000"/>
          <w:szCs w:val="32"/>
        </w:rPr>
        <w:t>。</w:t>
      </w:r>
    </w:p>
    <w:p w14:paraId="7DD3005C">
      <w:pPr>
        <w:ind w:firstLine="640" w:firstLineChars="0"/>
        <w:rPr>
          <w:rFonts w:hint="eastAsia"/>
          <w:bCs/>
          <w:color w:val="000000"/>
          <w:sz w:val="34"/>
          <w:szCs w:val="34"/>
        </w:rPr>
      </w:pPr>
      <w:r>
        <w:rPr>
          <w:rFonts w:hint="eastAsia" w:ascii="Times New Roman" w:hAnsi="Times New Roman" w:eastAsia="楷体_GB2312" w:cs="楷体_GB2312"/>
          <w:szCs w:val="32"/>
        </w:rPr>
        <w:t>——民生福祉大幅增进。</w:t>
      </w:r>
      <w:r>
        <w:rPr>
          <w:rFonts w:hint="eastAsia"/>
          <w:bCs/>
          <w:color w:val="000000"/>
          <w:szCs w:val="32"/>
        </w:rPr>
        <w:t>高质量充分就业取得新进展，教育强区建设成果更加丰硕，多层次社会保障体系更加健全，数字化、多样化、高品质、个性化公共服务供给更加丰富便利，覆盖全生命周期的人口服务体系更加完善，群众享有更加殷实、更加富足、更高品质的生活。</w:t>
      </w:r>
    </w:p>
    <w:p w14:paraId="22C1CE7F">
      <w:pPr>
        <w:ind w:firstLine="640" w:firstLineChars="0"/>
        <w:rPr>
          <w:rFonts w:ascii="Times New Roman" w:hAnsi="Times New Roman"/>
          <w:szCs w:val="32"/>
        </w:rPr>
      </w:pPr>
      <w:r>
        <w:rPr>
          <w:rFonts w:hint="eastAsia" w:ascii="Times New Roman" w:hAnsi="Times New Roman" w:eastAsia="楷体_GB2312" w:cs="楷体_GB2312"/>
          <w:szCs w:val="32"/>
        </w:rPr>
        <w:t>——社会治理智慧精细。</w:t>
      </w:r>
      <w:r>
        <w:rPr>
          <w:rFonts w:hint="eastAsia"/>
          <w:bCs/>
          <w:color w:val="000000"/>
          <w:szCs w:val="32"/>
        </w:rPr>
        <w:t>民主法治建设扎实推进，党建引领基层治理效能有力提升，城市治理智慧化精细化水平大幅提高，城市安全韧性持续增强，防范化解风险能力明显提高，统筹发展和安全的体制机制进一步完善，平安槐荫、法治槐荫建设取得明显成效。</w:t>
      </w:r>
    </w:p>
    <w:p w14:paraId="001BA865">
      <w:pPr>
        <w:pStyle w:val="10"/>
        <w:spacing w:after="0"/>
        <w:ind w:left="0" w:leftChars="0" w:firstLine="640"/>
        <w:rPr>
          <w:rFonts w:ascii="Times New Roman" w:hAnsi="Times New Roman" w:eastAsia="仿宋_GB2312"/>
          <w:sz w:val="32"/>
          <w:szCs w:val="32"/>
        </w:rPr>
      </w:pPr>
      <w:r>
        <w:rPr>
          <w:rFonts w:hint="eastAsia" w:ascii="Times New Roman" w:hAnsi="Times New Roman" w:eastAsia="仿宋_GB2312"/>
          <w:sz w:val="32"/>
          <w:szCs w:val="32"/>
        </w:rPr>
        <w:t>在此基础上再奋斗五年，到二〇三五年，槐荫的城区形态、功能、品质将得到全面重塑跃升，</w:t>
      </w:r>
      <w:r>
        <w:rPr>
          <w:rFonts w:hint="eastAsia" w:ascii="Times New Roman" w:hAnsi="Times New Roman" w:eastAsia="仿宋_GB2312"/>
          <w:sz w:val="32"/>
          <w:szCs w:val="32"/>
          <w:highlight w:val="yellow"/>
        </w:rPr>
        <w:t>黄河流域重要的中心城市一流城区</w:t>
      </w:r>
      <w:r>
        <w:rPr>
          <w:rFonts w:hint="eastAsia" w:ascii="Times New Roman" w:hAnsi="Times New Roman" w:eastAsia="仿宋_GB2312"/>
          <w:sz w:val="32"/>
          <w:szCs w:val="32"/>
        </w:rPr>
        <w:t>全面建成，城区吸引力、创造力、竞争力将实现跨越式突破，处处涌动着蓬勃生机和活力，</w:t>
      </w:r>
      <w:r>
        <w:rPr>
          <w:rFonts w:hint="eastAsia" w:ascii="Times New Roman" w:hAnsi="Times New Roman" w:eastAsia="仿宋_GB2312"/>
          <w:sz w:val="32"/>
          <w:szCs w:val="32"/>
          <w:highlight w:val="none"/>
        </w:rPr>
        <w:t>人均地区生产总值达到中等发达国家水平</w:t>
      </w:r>
      <w:r>
        <w:rPr>
          <w:rFonts w:hint="eastAsia" w:ascii="Times New Roman" w:hAnsi="Times New Roman" w:eastAsia="仿宋_GB2312"/>
          <w:sz w:val="32"/>
          <w:szCs w:val="32"/>
        </w:rPr>
        <w:t>，人人享有更高品质的幸福生活，基本建成“强荣新和美”的新时代社会主义现代化强区。</w:t>
      </w:r>
    </w:p>
    <w:p w14:paraId="4017DE64">
      <w:pPr>
        <w:ind w:firstLine="640" w:firstLineChars="0"/>
        <w:jc w:val="center"/>
        <w:rPr>
          <w:rFonts w:ascii="Times New Roman" w:hAnsi="Times New Roman" w:eastAsia="楷体_GB2312" w:cs="楷体_GB2312"/>
          <w:kern w:val="2"/>
          <w:sz w:val="28"/>
          <w:szCs w:val="28"/>
        </w:rPr>
      </w:pPr>
      <w:r>
        <w:rPr>
          <w:rFonts w:hint="eastAsia" w:ascii="Times New Roman" w:hAnsi="Times New Roman" w:eastAsia="楷体_GB2312" w:cs="楷体_GB2312"/>
          <w:kern w:val="2"/>
          <w:sz w:val="28"/>
          <w:szCs w:val="28"/>
        </w:rPr>
        <w:t>专栏1 “十五五”时期经济社会发展主要目标表</w:t>
      </w:r>
    </w:p>
    <w:tbl>
      <w:tblPr>
        <w:tblStyle w:val="22"/>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604"/>
        <w:gridCol w:w="1274"/>
        <w:gridCol w:w="1274"/>
        <w:gridCol w:w="1255"/>
        <w:gridCol w:w="1268"/>
        <w:gridCol w:w="1017"/>
        <w:gridCol w:w="1119"/>
      </w:tblGrid>
      <w:tr w14:paraId="6CE1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3819" w:type="dxa"/>
            <w:gridSpan w:val="4"/>
            <w:vMerge w:val="restart"/>
            <w:vAlign w:val="center"/>
          </w:tcPr>
          <w:p w14:paraId="6EBB88E7">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指标名称</w:t>
            </w:r>
          </w:p>
        </w:tc>
        <w:tc>
          <w:tcPr>
            <w:tcW w:w="2523" w:type="dxa"/>
            <w:gridSpan w:val="2"/>
            <w:vAlign w:val="center"/>
          </w:tcPr>
          <w:p w14:paraId="2B8007B2">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主要目标值</w:t>
            </w:r>
          </w:p>
        </w:tc>
        <w:tc>
          <w:tcPr>
            <w:tcW w:w="1017" w:type="dxa"/>
            <w:vMerge w:val="restart"/>
            <w:vAlign w:val="center"/>
          </w:tcPr>
          <w:p w14:paraId="69B40237">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年均增速（%）</w:t>
            </w:r>
          </w:p>
        </w:tc>
        <w:tc>
          <w:tcPr>
            <w:tcW w:w="1119" w:type="dxa"/>
            <w:vMerge w:val="restart"/>
            <w:vAlign w:val="center"/>
          </w:tcPr>
          <w:p w14:paraId="39C5EDEB">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指标</w:t>
            </w:r>
          </w:p>
          <w:p w14:paraId="79452676">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属性</w:t>
            </w:r>
          </w:p>
        </w:tc>
      </w:tr>
      <w:tr w14:paraId="51C7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819" w:type="dxa"/>
            <w:gridSpan w:val="4"/>
            <w:vMerge w:val="continue"/>
            <w:vAlign w:val="center"/>
          </w:tcPr>
          <w:p w14:paraId="1FD5E0BE">
            <w:pPr>
              <w:spacing w:line="240" w:lineRule="auto"/>
              <w:ind w:firstLine="0" w:firstLineChars="0"/>
              <w:jc w:val="center"/>
              <w:rPr>
                <w:rFonts w:ascii="Times New Roman" w:hAnsi="Times New Roman" w:eastAsia="黑体" w:cs="黑体"/>
                <w:sz w:val="24"/>
                <w:szCs w:val="24"/>
              </w:rPr>
            </w:pPr>
          </w:p>
        </w:tc>
        <w:tc>
          <w:tcPr>
            <w:tcW w:w="1255" w:type="dxa"/>
            <w:vAlign w:val="center"/>
          </w:tcPr>
          <w:p w14:paraId="6B1B9497">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2025年</w:t>
            </w:r>
          </w:p>
          <w:p w14:paraId="1C204E35">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预计</w:t>
            </w:r>
          </w:p>
        </w:tc>
        <w:tc>
          <w:tcPr>
            <w:tcW w:w="1268" w:type="dxa"/>
            <w:vAlign w:val="center"/>
          </w:tcPr>
          <w:p w14:paraId="1E6509B8">
            <w:pPr>
              <w:spacing w:line="240" w:lineRule="auto"/>
              <w:ind w:firstLine="0" w:firstLineChars="0"/>
              <w:jc w:val="center"/>
              <w:rPr>
                <w:rFonts w:ascii="Times New Roman" w:hAnsi="Times New Roman" w:eastAsia="黑体" w:cs="黑体"/>
                <w:sz w:val="24"/>
                <w:szCs w:val="24"/>
              </w:rPr>
            </w:pPr>
            <w:r>
              <w:rPr>
                <w:rFonts w:hint="eastAsia" w:ascii="Times New Roman" w:hAnsi="Times New Roman" w:eastAsia="黑体" w:cs="黑体"/>
                <w:sz w:val="24"/>
                <w:szCs w:val="24"/>
              </w:rPr>
              <w:t>2030年</w:t>
            </w:r>
          </w:p>
        </w:tc>
        <w:tc>
          <w:tcPr>
            <w:tcW w:w="1017" w:type="dxa"/>
            <w:vMerge w:val="continue"/>
            <w:vAlign w:val="center"/>
          </w:tcPr>
          <w:p w14:paraId="25328FBE">
            <w:pPr>
              <w:spacing w:line="240" w:lineRule="auto"/>
              <w:ind w:firstLine="0" w:firstLineChars="0"/>
              <w:jc w:val="center"/>
              <w:rPr>
                <w:rFonts w:ascii="Times New Roman" w:hAnsi="Times New Roman" w:eastAsia="黑体" w:cs="黑体"/>
                <w:sz w:val="24"/>
                <w:szCs w:val="24"/>
              </w:rPr>
            </w:pPr>
          </w:p>
        </w:tc>
        <w:tc>
          <w:tcPr>
            <w:tcW w:w="1119" w:type="dxa"/>
            <w:vMerge w:val="continue"/>
            <w:vAlign w:val="center"/>
          </w:tcPr>
          <w:p w14:paraId="1FC132D5">
            <w:pPr>
              <w:spacing w:line="240" w:lineRule="auto"/>
              <w:ind w:firstLine="0" w:firstLineChars="0"/>
              <w:jc w:val="center"/>
              <w:rPr>
                <w:rFonts w:ascii="Times New Roman" w:hAnsi="Times New Roman" w:eastAsia="黑体" w:cs="黑体"/>
                <w:sz w:val="24"/>
                <w:szCs w:val="24"/>
              </w:rPr>
            </w:pPr>
          </w:p>
        </w:tc>
      </w:tr>
      <w:tr w14:paraId="7738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7" w:type="dxa"/>
            <w:vAlign w:val="center"/>
          </w:tcPr>
          <w:p w14:paraId="7C2E8029">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经济发展</w:t>
            </w:r>
          </w:p>
        </w:tc>
        <w:tc>
          <w:tcPr>
            <w:tcW w:w="604" w:type="dxa"/>
            <w:vAlign w:val="center"/>
          </w:tcPr>
          <w:p w14:paraId="1EF7AD6B">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w:t>
            </w:r>
          </w:p>
        </w:tc>
        <w:tc>
          <w:tcPr>
            <w:tcW w:w="2548" w:type="dxa"/>
            <w:gridSpan w:val="2"/>
            <w:vAlign w:val="center"/>
          </w:tcPr>
          <w:p w14:paraId="1EC4938D">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rPr>
              <w:t>地区生产总值增速（%）</w:t>
            </w:r>
          </w:p>
        </w:tc>
        <w:tc>
          <w:tcPr>
            <w:tcW w:w="1255" w:type="dxa"/>
            <w:vAlign w:val="center"/>
          </w:tcPr>
          <w:p w14:paraId="765D4C1B">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5.5</w:t>
            </w:r>
          </w:p>
        </w:tc>
        <w:tc>
          <w:tcPr>
            <w:tcW w:w="1268" w:type="dxa"/>
            <w:vAlign w:val="center"/>
          </w:tcPr>
          <w:p w14:paraId="743D9760">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w:t>
            </w:r>
          </w:p>
        </w:tc>
        <w:tc>
          <w:tcPr>
            <w:tcW w:w="1017" w:type="dxa"/>
            <w:vAlign w:val="center"/>
          </w:tcPr>
          <w:p w14:paraId="79E5298B">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5</w:t>
            </w:r>
          </w:p>
        </w:tc>
        <w:tc>
          <w:tcPr>
            <w:tcW w:w="1119" w:type="dxa"/>
            <w:vAlign w:val="center"/>
          </w:tcPr>
          <w:p w14:paraId="6777BA7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预期性</w:t>
            </w:r>
          </w:p>
        </w:tc>
      </w:tr>
      <w:tr w14:paraId="64BA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67" w:type="dxa"/>
            <w:vMerge w:val="restart"/>
            <w:vAlign w:val="center"/>
          </w:tcPr>
          <w:p w14:paraId="513E843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创新驱动</w:t>
            </w:r>
          </w:p>
        </w:tc>
        <w:tc>
          <w:tcPr>
            <w:tcW w:w="604" w:type="dxa"/>
            <w:vAlign w:val="center"/>
          </w:tcPr>
          <w:p w14:paraId="66624003">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2</w:t>
            </w:r>
          </w:p>
        </w:tc>
        <w:tc>
          <w:tcPr>
            <w:tcW w:w="2548" w:type="dxa"/>
            <w:gridSpan w:val="2"/>
            <w:vAlign w:val="center"/>
          </w:tcPr>
          <w:p w14:paraId="623EA8BA">
            <w:pPr>
              <w:spacing w:line="240" w:lineRule="auto"/>
              <w:ind w:firstLine="0" w:firstLineChars="0"/>
              <w:jc w:val="left"/>
              <w:rPr>
                <w:rFonts w:ascii="Times New Roman" w:hAnsi="Times New Roman" w:eastAsia="楷体_GB2312" w:cs="楷体_GB2312"/>
                <w:sz w:val="24"/>
                <w:szCs w:val="24"/>
                <w:highlight w:val="yellow"/>
              </w:rPr>
            </w:pPr>
            <w:r>
              <w:rPr>
                <w:rFonts w:hint="eastAsia" w:ascii="Times New Roman" w:hAnsi="Times New Roman" w:eastAsia="楷体_GB2312" w:cs="楷体_GB2312"/>
                <w:sz w:val="24"/>
                <w:szCs w:val="24"/>
                <w:highlight w:val="yellow"/>
              </w:rPr>
              <w:t>全社会研发经费投入增长（%）</w:t>
            </w:r>
          </w:p>
        </w:tc>
        <w:tc>
          <w:tcPr>
            <w:tcW w:w="1255" w:type="dxa"/>
            <w:vAlign w:val="center"/>
          </w:tcPr>
          <w:p w14:paraId="18DBC828">
            <w:pPr>
              <w:spacing w:line="240" w:lineRule="auto"/>
              <w:ind w:firstLine="0" w:firstLineChars="0"/>
              <w:jc w:val="center"/>
              <w:rPr>
                <w:rFonts w:ascii="Times New Roman" w:hAnsi="Times New Roman" w:eastAsia="楷体_GB2312" w:cs="楷体_GB2312"/>
                <w:sz w:val="24"/>
                <w:szCs w:val="24"/>
                <w:highlight w:val="yellow"/>
              </w:rPr>
            </w:pPr>
          </w:p>
        </w:tc>
        <w:tc>
          <w:tcPr>
            <w:tcW w:w="1268" w:type="dxa"/>
            <w:vAlign w:val="center"/>
          </w:tcPr>
          <w:p w14:paraId="429A5F2D">
            <w:pPr>
              <w:spacing w:line="240" w:lineRule="auto"/>
              <w:ind w:firstLine="0" w:firstLineChars="0"/>
              <w:jc w:val="center"/>
              <w:rPr>
                <w:rFonts w:ascii="Times New Roman" w:hAnsi="Times New Roman" w:eastAsia="楷体_GB2312" w:cs="楷体_GB2312"/>
                <w:sz w:val="24"/>
                <w:szCs w:val="24"/>
                <w:highlight w:val="yellow"/>
              </w:rPr>
            </w:pPr>
          </w:p>
        </w:tc>
        <w:tc>
          <w:tcPr>
            <w:tcW w:w="1017" w:type="dxa"/>
            <w:vAlign w:val="center"/>
          </w:tcPr>
          <w:p w14:paraId="3742277A">
            <w:pPr>
              <w:spacing w:line="240" w:lineRule="auto"/>
              <w:ind w:firstLine="0" w:firstLineChars="0"/>
              <w:jc w:val="center"/>
              <w:rPr>
                <w:rFonts w:ascii="Times New Roman" w:hAnsi="Times New Roman" w:eastAsia="楷体_GB2312" w:cs="楷体_GB2312"/>
                <w:sz w:val="24"/>
                <w:szCs w:val="24"/>
                <w:highlight w:val="yellow"/>
              </w:rPr>
            </w:pPr>
            <w:r>
              <w:rPr>
                <w:rFonts w:hint="eastAsia" w:ascii="Times New Roman" w:hAnsi="Times New Roman" w:eastAsia="楷体_GB2312" w:cs="楷体_GB2312"/>
                <w:sz w:val="24"/>
                <w:szCs w:val="24"/>
                <w:highlight w:val="yellow"/>
              </w:rPr>
              <w:t>7</w:t>
            </w:r>
          </w:p>
        </w:tc>
        <w:tc>
          <w:tcPr>
            <w:tcW w:w="1119" w:type="dxa"/>
            <w:vAlign w:val="center"/>
          </w:tcPr>
          <w:p w14:paraId="7FF13CE5">
            <w:pPr>
              <w:spacing w:line="240" w:lineRule="auto"/>
              <w:ind w:firstLine="0" w:firstLineChars="0"/>
              <w:jc w:val="center"/>
              <w:rPr>
                <w:rFonts w:ascii="Times New Roman" w:hAnsi="Times New Roman" w:eastAsia="楷体_GB2312" w:cs="楷体_GB2312"/>
                <w:sz w:val="24"/>
                <w:szCs w:val="24"/>
                <w:highlight w:val="yellow"/>
              </w:rPr>
            </w:pPr>
            <w:r>
              <w:rPr>
                <w:rFonts w:hint="eastAsia" w:ascii="Times New Roman" w:hAnsi="Times New Roman" w:eastAsia="楷体_GB2312" w:cs="楷体_GB2312"/>
                <w:sz w:val="24"/>
                <w:szCs w:val="24"/>
                <w:highlight w:val="yellow"/>
              </w:rPr>
              <w:t>预期性</w:t>
            </w:r>
          </w:p>
        </w:tc>
      </w:tr>
      <w:tr w14:paraId="7E52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67" w:type="dxa"/>
            <w:vMerge w:val="continue"/>
            <w:vAlign w:val="center"/>
          </w:tcPr>
          <w:p w14:paraId="60084F1E">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39D013E8">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3</w:t>
            </w:r>
          </w:p>
        </w:tc>
        <w:tc>
          <w:tcPr>
            <w:tcW w:w="2548" w:type="dxa"/>
            <w:gridSpan w:val="2"/>
            <w:vAlign w:val="center"/>
          </w:tcPr>
          <w:p w14:paraId="7E98753B">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rPr>
              <w:t>高新技术产业产值占规模以上工业总产值比重年均增长（%）</w:t>
            </w:r>
          </w:p>
        </w:tc>
        <w:tc>
          <w:tcPr>
            <w:tcW w:w="1255" w:type="dxa"/>
            <w:vAlign w:val="center"/>
          </w:tcPr>
          <w:p w14:paraId="39D6635A">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86.5</w:t>
            </w:r>
          </w:p>
        </w:tc>
        <w:tc>
          <w:tcPr>
            <w:tcW w:w="1268" w:type="dxa"/>
            <w:vAlign w:val="center"/>
          </w:tcPr>
          <w:p w14:paraId="70AE448A">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88</w:t>
            </w:r>
          </w:p>
        </w:tc>
        <w:tc>
          <w:tcPr>
            <w:tcW w:w="1017" w:type="dxa"/>
            <w:vAlign w:val="center"/>
          </w:tcPr>
          <w:p w14:paraId="688861F5">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0.3</w:t>
            </w:r>
          </w:p>
        </w:tc>
        <w:tc>
          <w:tcPr>
            <w:tcW w:w="1119" w:type="dxa"/>
            <w:vAlign w:val="center"/>
          </w:tcPr>
          <w:p w14:paraId="5322EFB6">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预期性</w:t>
            </w:r>
          </w:p>
        </w:tc>
      </w:tr>
      <w:tr w14:paraId="0BF7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667" w:type="dxa"/>
            <w:vMerge w:val="restart"/>
            <w:vAlign w:val="center"/>
          </w:tcPr>
          <w:p w14:paraId="4E9B9A0C">
            <w:pPr>
              <w:spacing w:line="240" w:lineRule="auto"/>
              <w:ind w:firstLine="0" w:firstLineChars="0"/>
              <w:jc w:val="center"/>
              <w:rPr>
                <w:rFonts w:ascii="Times New Roman" w:hAnsi="Times New Roman" w:eastAsia="楷体_GB2312" w:cs="楷体_GB2312"/>
                <w:sz w:val="24"/>
                <w:szCs w:val="24"/>
              </w:rPr>
            </w:pPr>
          </w:p>
          <w:p w14:paraId="42719C8B">
            <w:pPr>
              <w:spacing w:line="240" w:lineRule="auto"/>
              <w:ind w:firstLine="0" w:firstLineChars="0"/>
              <w:jc w:val="center"/>
              <w:rPr>
                <w:rFonts w:ascii="Times New Roman" w:hAnsi="Times New Roman" w:eastAsia="楷体_GB2312" w:cs="楷体_GB2312"/>
                <w:sz w:val="24"/>
                <w:szCs w:val="24"/>
              </w:rPr>
            </w:pPr>
          </w:p>
          <w:p w14:paraId="1B8F66B3">
            <w:pPr>
              <w:spacing w:line="240" w:lineRule="auto"/>
              <w:ind w:firstLine="0" w:firstLineChars="0"/>
              <w:jc w:val="center"/>
              <w:rPr>
                <w:rFonts w:ascii="Times New Roman" w:hAnsi="Times New Roman" w:eastAsia="楷体_GB2312" w:cs="楷体_GB2312"/>
                <w:sz w:val="24"/>
                <w:szCs w:val="24"/>
              </w:rPr>
            </w:pPr>
          </w:p>
          <w:p w14:paraId="6763B193">
            <w:pPr>
              <w:spacing w:line="240" w:lineRule="auto"/>
              <w:ind w:firstLine="0" w:firstLineChars="0"/>
              <w:jc w:val="center"/>
              <w:rPr>
                <w:rFonts w:ascii="Times New Roman" w:hAnsi="Times New Roman" w:eastAsia="楷体_GB2312" w:cs="楷体_GB2312"/>
                <w:sz w:val="24"/>
                <w:szCs w:val="24"/>
              </w:rPr>
            </w:pPr>
          </w:p>
          <w:p w14:paraId="76A0385B">
            <w:pPr>
              <w:spacing w:line="240" w:lineRule="auto"/>
              <w:ind w:firstLine="0" w:firstLineChars="0"/>
              <w:jc w:val="center"/>
              <w:rPr>
                <w:rFonts w:ascii="Times New Roman" w:hAnsi="Times New Roman" w:eastAsia="楷体_GB2312" w:cs="楷体_GB2312"/>
                <w:sz w:val="24"/>
                <w:szCs w:val="24"/>
              </w:rPr>
            </w:pPr>
          </w:p>
          <w:p w14:paraId="7B9EE0BC">
            <w:pPr>
              <w:spacing w:line="240" w:lineRule="auto"/>
              <w:ind w:firstLine="0" w:firstLineChars="0"/>
              <w:jc w:val="center"/>
              <w:rPr>
                <w:rFonts w:ascii="Times New Roman" w:hAnsi="Times New Roman" w:eastAsia="楷体_GB2312" w:cs="楷体_GB2312"/>
                <w:sz w:val="24"/>
                <w:szCs w:val="24"/>
              </w:rPr>
            </w:pPr>
          </w:p>
          <w:p w14:paraId="192078DF">
            <w:pPr>
              <w:spacing w:line="240" w:lineRule="auto"/>
              <w:ind w:firstLine="0" w:firstLineChars="0"/>
              <w:jc w:val="center"/>
              <w:rPr>
                <w:rFonts w:ascii="Times New Roman" w:hAnsi="Times New Roman" w:eastAsia="楷体_GB2312" w:cs="楷体_GB2312"/>
                <w:sz w:val="24"/>
                <w:szCs w:val="24"/>
              </w:rPr>
            </w:pPr>
          </w:p>
          <w:p w14:paraId="0DC9BE22">
            <w:pPr>
              <w:spacing w:line="240" w:lineRule="auto"/>
              <w:ind w:firstLine="0" w:firstLineChars="0"/>
              <w:jc w:val="center"/>
              <w:rPr>
                <w:rFonts w:ascii="Times New Roman" w:hAnsi="Times New Roman" w:eastAsia="楷体_GB2312" w:cs="楷体_GB2312"/>
                <w:sz w:val="24"/>
                <w:szCs w:val="24"/>
              </w:rPr>
            </w:pPr>
          </w:p>
          <w:p w14:paraId="0F8FDDE5">
            <w:pPr>
              <w:spacing w:line="240" w:lineRule="auto"/>
              <w:ind w:firstLine="0" w:firstLineChars="0"/>
              <w:jc w:val="center"/>
              <w:rPr>
                <w:rFonts w:ascii="Times New Roman" w:hAnsi="Times New Roman" w:eastAsia="楷体_GB2312" w:cs="楷体_GB2312"/>
                <w:sz w:val="24"/>
                <w:szCs w:val="24"/>
              </w:rPr>
            </w:pPr>
          </w:p>
          <w:p w14:paraId="443A0AD8">
            <w:pPr>
              <w:spacing w:line="240" w:lineRule="auto"/>
              <w:ind w:firstLine="0" w:firstLineChars="0"/>
              <w:jc w:val="center"/>
              <w:rPr>
                <w:rFonts w:ascii="Times New Roman" w:hAnsi="Times New Roman" w:eastAsia="楷体_GB2312" w:cs="楷体_GB2312"/>
                <w:sz w:val="24"/>
                <w:szCs w:val="24"/>
              </w:rPr>
            </w:pPr>
          </w:p>
          <w:p w14:paraId="74A4656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民生福祉</w:t>
            </w:r>
          </w:p>
        </w:tc>
        <w:tc>
          <w:tcPr>
            <w:tcW w:w="604" w:type="dxa"/>
            <w:vAlign w:val="center"/>
          </w:tcPr>
          <w:p w14:paraId="61D25B2F">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4</w:t>
            </w:r>
          </w:p>
        </w:tc>
        <w:tc>
          <w:tcPr>
            <w:tcW w:w="2548" w:type="dxa"/>
            <w:gridSpan w:val="2"/>
            <w:vAlign w:val="center"/>
          </w:tcPr>
          <w:p w14:paraId="5E00FA35">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rPr>
              <w:t>居民人均可支配收入增长（%）</w:t>
            </w:r>
          </w:p>
        </w:tc>
        <w:tc>
          <w:tcPr>
            <w:tcW w:w="1255" w:type="dxa"/>
            <w:vAlign w:val="center"/>
          </w:tcPr>
          <w:p w14:paraId="668B9ED0">
            <w:pPr>
              <w:spacing w:line="240" w:lineRule="auto"/>
              <w:ind w:firstLine="0" w:firstLineChars="0"/>
              <w:jc w:val="center"/>
              <w:rPr>
                <w:rFonts w:ascii="Times New Roman" w:hAnsi="Times New Roman" w:eastAsia="楷体_GB2312" w:cs="楷体_GB2312"/>
                <w:sz w:val="24"/>
                <w:szCs w:val="24"/>
              </w:rPr>
            </w:pPr>
          </w:p>
        </w:tc>
        <w:tc>
          <w:tcPr>
            <w:tcW w:w="1268" w:type="dxa"/>
            <w:vAlign w:val="center"/>
          </w:tcPr>
          <w:p w14:paraId="1558906B">
            <w:pPr>
              <w:spacing w:line="240" w:lineRule="auto"/>
              <w:ind w:firstLine="0" w:firstLineChars="0"/>
              <w:jc w:val="center"/>
              <w:rPr>
                <w:rFonts w:ascii="Times New Roman" w:hAnsi="Times New Roman" w:eastAsia="楷体_GB2312" w:cs="楷体_GB2312"/>
                <w:sz w:val="24"/>
                <w:szCs w:val="24"/>
              </w:rPr>
            </w:pPr>
          </w:p>
        </w:tc>
        <w:tc>
          <w:tcPr>
            <w:tcW w:w="1017" w:type="dxa"/>
            <w:vAlign w:val="center"/>
          </w:tcPr>
          <w:p w14:paraId="01A92035">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5</w:t>
            </w:r>
          </w:p>
        </w:tc>
        <w:tc>
          <w:tcPr>
            <w:tcW w:w="1119" w:type="dxa"/>
            <w:vAlign w:val="center"/>
          </w:tcPr>
          <w:p w14:paraId="504541BB">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预期性</w:t>
            </w:r>
          </w:p>
        </w:tc>
      </w:tr>
      <w:tr w14:paraId="660F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67" w:type="dxa"/>
            <w:vMerge w:val="continue"/>
            <w:vAlign w:val="center"/>
          </w:tcPr>
          <w:p w14:paraId="337A1289">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6D25EF5A">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5</w:t>
            </w:r>
          </w:p>
        </w:tc>
        <w:tc>
          <w:tcPr>
            <w:tcW w:w="2548" w:type="dxa"/>
            <w:gridSpan w:val="2"/>
            <w:vAlign w:val="center"/>
          </w:tcPr>
          <w:p w14:paraId="635C4AE0">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olor w:val="000000" w:themeColor="text1"/>
                <w:sz w:val="24"/>
                <w:szCs w:val="24"/>
                <w14:textFill>
                  <w14:solidFill>
                    <w14:schemeClr w14:val="tx1"/>
                  </w14:solidFill>
                </w14:textFill>
              </w:rPr>
              <w:t>新增城镇就业人数（万人）</w:t>
            </w:r>
          </w:p>
        </w:tc>
        <w:tc>
          <w:tcPr>
            <w:tcW w:w="1255" w:type="dxa"/>
            <w:vAlign w:val="center"/>
          </w:tcPr>
          <w:p w14:paraId="66B164E4">
            <w:pPr>
              <w:spacing w:line="240" w:lineRule="auto"/>
              <w:ind w:firstLine="0" w:firstLineChars="0"/>
              <w:jc w:val="center"/>
              <w:rPr>
                <w:rFonts w:ascii="Times New Roman" w:hAnsi="Times New Roman" w:eastAsia="楷体_GB2312" w:cs="楷体_GB2312"/>
                <w:sz w:val="24"/>
                <w:szCs w:val="24"/>
              </w:rPr>
            </w:pPr>
          </w:p>
        </w:tc>
        <w:tc>
          <w:tcPr>
            <w:tcW w:w="1268" w:type="dxa"/>
            <w:vAlign w:val="center"/>
          </w:tcPr>
          <w:p w14:paraId="3E785FC9">
            <w:pPr>
              <w:spacing w:line="240" w:lineRule="auto"/>
              <w:ind w:firstLine="0" w:firstLineChars="0"/>
              <w:jc w:val="center"/>
              <w:rPr>
                <w:rFonts w:ascii="Times New Roman" w:hAnsi="Times New Roman" w:eastAsia="楷体_GB2312" w:cs="楷体_GB2312"/>
                <w:sz w:val="24"/>
                <w:szCs w:val="24"/>
              </w:rPr>
            </w:pPr>
          </w:p>
        </w:tc>
        <w:tc>
          <w:tcPr>
            <w:tcW w:w="1017" w:type="dxa"/>
            <w:vAlign w:val="center"/>
          </w:tcPr>
          <w:p w14:paraId="2AFF7D8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完成上级下达任务</w:t>
            </w:r>
          </w:p>
        </w:tc>
        <w:tc>
          <w:tcPr>
            <w:tcW w:w="1119" w:type="dxa"/>
            <w:vAlign w:val="center"/>
          </w:tcPr>
          <w:p w14:paraId="267EB5C0">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预期性</w:t>
            </w:r>
          </w:p>
        </w:tc>
      </w:tr>
      <w:tr w14:paraId="71F2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67" w:type="dxa"/>
            <w:vMerge w:val="continue"/>
            <w:vAlign w:val="center"/>
          </w:tcPr>
          <w:p w14:paraId="74D16B5B">
            <w:pPr>
              <w:spacing w:line="240" w:lineRule="auto"/>
              <w:ind w:firstLine="0" w:firstLineChars="0"/>
              <w:jc w:val="center"/>
              <w:rPr>
                <w:rFonts w:ascii="Times New Roman" w:hAnsi="Times New Roman" w:eastAsia="楷体_GB2312" w:cs="楷体_GB2312"/>
                <w:sz w:val="24"/>
                <w:szCs w:val="24"/>
              </w:rPr>
            </w:pPr>
          </w:p>
        </w:tc>
        <w:tc>
          <w:tcPr>
            <w:tcW w:w="604" w:type="dxa"/>
            <w:vMerge w:val="restart"/>
            <w:vAlign w:val="center"/>
          </w:tcPr>
          <w:p w14:paraId="2110736D">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6</w:t>
            </w:r>
          </w:p>
        </w:tc>
        <w:tc>
          <w:tcPr>
            <w:tcW w:w="1274" w:type="dxa"/>
            <w:vMerge w:val="restart"/>
            <w:vAlign w:val="center"/>
          </w:tcPr>
          <w:p w14:paraId="0F28EFB2">
            <w:pPr>
              <w:spacing w:line="240" w:lineRule="auto"/>
              <w:ind w:firstLine="0" w:firstLineChars="0"/>
              <w:jc w:val="center"/>
              <w:rPr>
                <w:rFonts w:ascii="Times New Roman" w:hAnsi="Times New Roman" w:eastAsia="楷体_GB2312"/>
                <w:color w:val="000000" w:themeColor="text1"/>
                <w:sz w:val="24"/>
                <w:szCs w:val="24"/>
                <w14:textFill>
                  <w14:solidFill>
                    <w14:schemeClr w14:val="tx1"/>
                  </w14:solidFill>
                </w14:textFill>
              </w:rPr>
            </w:pPr>
            <w:r>
              <w:rPr>
                <w:rFonts w:hint="eastAsia" w:ascii="Times New Roman" w:hAnsi="Times New Roman" w:eastAsia="楷体_GB2312"/>
                <w:color w:val="000000" w:themeColor="text1"/>
                <w:sz w:val="24"/>
                <w:szCs w:val="24"/>
                <w14:textFill>
                  <w14:solidFill>
                    <w14:schemeClr w14:val="tx1"/>
                  </w14:solidFill>
                </w14:textFill>
              </w:rPr>
              <w:t>每千人口拥有医护人员数（人）</w:t>
            </w:r>
          </w:p>
        </w:tc>
        <w:tc>
          <w:tcPr>
            <w:tcW w:w="1274" w:type="dxa"/>
            <w:vAlign w:val="center"/>
          </w:tcPr>
          <w:p w14:paraId="30804400">
            <w:pPr>
              <w:spacing w:line="240" w:lineRule="auto"/>
              <w:ind w:firstLine="0" w:firstLineChars="0"/>
              <w:jc w:val="left"/>
              <w:rPr>
                <w:rFonts w:ascii="Times New Roman" w:hAnsi="Times New Roman" w:eastAsia="楷体_GB2312"/>
                <w:color w:val="000000" w:themeColor="text1"/>
                <w:sz w:val="24"/>
                <w:szCs w:val="24"/>
                <w14:textFill>
                  <w14:solidFill>
                    <w14:schemeClr w14:val="tx1"/>
                  </w14:solidFill>
                </w14:textFill>
              </w:rPr>
            </w:pPr>
            <w:r>
              <w:rPr>
                <w:rFonts w:hint="eastAsia" w:ascii="Times New Roman" w:hAnsi="Times New Roman" w:eastAsia="楷体_GB2312"/>
                <w:color w:val="000000" w:themeColor="text1"/>
                <w:sz w:val="24"/>
                <w:szCs w:val="24"/>
                <w14:textFill>
                  <w14:solidFill>
                    <w14:schemeClr w14:val="tx1"/>
                  </w14:solidFill>
                </w14:textFill>
              </w:rPr>
              <w:t>执业医师数（人）</w:t>
            </w:r>
          </w:p>
        </w:tc>
        <w:tc>
          <w:tcPr>
            <w:tcW w:w="1255" w:type="dxa"/>
            <w:vAlign w:val="center"/>
          </w:tcPr>
          <w:p w14:paraId="43BD80A7">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11.3</w:t>
            </w:r>
          </w:p>
        </w:tc>
        <w:tc>
          <w:tcPr>
            <w:tcW w:w="1268" w:type="dxa"/>
            <w:vAlign w:val="center"/>
          </w:tcPr>
          <w:p w14:paraId="57FD598A">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11.9</w:t>
            </w:r>
          </w:p>
        </w:tc>
        <w:tc>
          <w:tcPr>
            <w:tcW w:w="1017" w:type="dxa"/>
            <w:vAlign w:val="center"/>
          </w:tcPr>
          <w:p w14:paraId="2D60D8ED">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1.03</w:t>
            </w:r>
          </w:p>
        </w:tc>
        <w:tc>
          <w:tcPr>
            <w:tcW w:w="1119" w:type="dxa"/>
            <w:vMerge w:val="restart"/>
            <w:vAlign w:val="center"/>
          </w:tcPr>
          <w:p w14:paraId="776ED51C">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预期性</w:t>
            </w:r>
          </w:p>
        </w:tc>
      </w:tr>
      <w:tr w14:paraId="72E0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67" w:type="dxa"/>
            <w:vMerge w:val="continue"/>
            <w:vAlign w:val="center"/>
          </w:tcPr>
          <w:p w14:paraId="00D62998">
            <w:pPr>
              <w:spacing w:line="240" w:lineRule="auto"/>
              <w:ind w:firstLine="0" w:firstLineChars="0"/>
              <w:jc w:val="left"/>
              <w:rPr>
                <w:rFonts w:hint="eastAsia"/>
              </w:rPr>
            </w:pPr>
          </w:p>
        </w:tc>
        <w:tc>
          <w:tcPr>
            <w:tcW w:w="604" w:type="dxa"/>
            <w:vMerge w:val="continue"/>
            <w:vAlign w:val="center"/>
          </w:tcPr>
          <w:p w14:paraId="33065701">
            <w:pPr>
              <w:spacing w:line="240" w:lineRule="auto"/>
              <w:ind w:firstLine="0" w:firstLineChars="0"/>
              <w:jc w:val="left"/>
              <w:rPr>
                <w:rFonts w:hint="eastAsia"/>
              </w:rPr>
            </w:pPr>
          </w:p>
        </w:tc>
        <w:tc>
          <w:tcPr>
            <w:tcW w:w="1274" w:type="dxa"/>
            <w:vMerge w:val="continue"/>
            <w:vAlign w:val="center"/>
          </w:tcPr>
          <w:p w14:paraId="15449058">
            <w:pPr>
              <w:spacing w:line="240" w:lineRule="auto"/>
              <w:ind w:firstLine="0" w:firstLineChars="0"/>
              <w:jc w:val="left"/>
              <w:rPr>
                <w:rFonts w:ascii="Times New Roman" w:hAnsi="Times New Roman" w:eastAsia="楷体_GB2312"/>
                <w:color w:val="000000" w:themeColor="text1"/>
                <w:sz w:val="24"/>
                <w:szCs w:val="24"/>
                <w14:textFill>
                  <w14:solidFill>
                    <w14:schemeClr w14:val="tx1"/>
                  </w14:solidFill>
                </w14:textFill>
              </w:rPr>
            </w:pPr>
          </w:p>
        </w:tc>
        <w:tc>
          <w:tcPr>
            <w:tcW w:w="1274" w:type="dxa"/>
            <w:vAlign w:val="center"/>
          </w:tcPr>
          <w:p w14:paraId="026229D2">
            <w:pPr>
              <w:spacing w:line="240" w:lineRule="auto"/>
              <w:ind w:firstLine="0" w:firstLineChars="0"/>
              <w:jc w:val="left"/>
              <w:rPr>
                <w:rFonts w:ascii="Times New Roman" w:hAnsi="Times New Roman" w:eastAsia="楷体_GB2312"/>
                <w:color w:val="000000" w:themeColor="text1"/>
                <w:sz w:val="24"/>
                <w:szCs w:val="24"/>
                <w14:textFill>
                  <w14:solidFill>
                    <w14:schemeClr w14:val="tx1"/>
                  </w14:solidFill>
                </w14:textFill>
              </w:rPr>
            </w:pPr>
            <w:r>
              <w:rPr>
                <w:rFonts w:hint="eastAsia" w:ascii="Times New Roman" w:hAnsi="Times New Roman" w:eastAsia="楷体_GB2312"/>
                <w:color w:val="000000" w:themeColor="text1"/>
                <w:sz w:val="24"/>
                <w:szCs w:val="24"/>
                <w14:textFill>
                  <w14:solidFill>
                    <w14:schemeClr w14:val="tx1"/>
                  </w14:solidFill>
                </w14:textFill>
              </w:rPr>
              <w:t>注册护士数（人）</w:t>
            </w:r>
          </w:p>
        </w:tc>
        <w:tc>
          <w:tcPr>
            <w:tcW w:w="1255" w:type="dxa"/>
            <w:vAlign w:val="center"/>
          </w:tcPr>
          <w:p w14:paraId="0AEB0EB5">
            <w:pPr>
              <w:spacing w:line="240" w:lineRule="auto"/>
              <w:ind w:firstLine="0" w:firstLineChars="0"/>
              <w:jc w:val="center"/>
              <w:rPr>
                <w:rFonts w:ascii="Times New Roman" w:hAnsi="Times New Roman" w:eastAsia="楷体_GB2312"/>
                <w:color w:val="000000" w:themeColor="text1"/>
                <w:sz w:val="24"/>
                <w:szCs w:val="24"/>
                <w14:textFill>
                  <w14:solidFill>
                    <w14:schemeClr w14:val="tx1"/>
                  </w14:solidFill>
                </w14:textFill>
              </w:rPr>
            </w:pPr>
            <w:r>
              <w:rPr>
                <w:rFonts w:hint="eastAsia" w:ascii="Times New Roman" w:hAnsi="Times New Roman" w:eastAsia="楷体_GB2312"/>
                <w:color w:val="000000" w:themeColor="text1"/>
                <w:sz w:val="24"/>
                <w:szCs w:val="24"/>
                <w14:textFill>
                  <w14:solidFill>
                    <w14:schemeClr w14:val="tx1"/>
                  </w14:solidFill>
                </w14:textFill>
              </w:rPr>
              <w:t>15</w:t>
            </w:r>
          </w:p>
        </w:tc>
        <w:tc>
          <w:tcPr>
            <w:tcW w:w="1268" w:type="dxa"/>
            <w:vAlign w:val="center"/>
          </w:tcPr>
          <w:p w14:paraId="769FF46E">
            <w:pPr>
              <w:spacing w:line="240" w:lineRule="auto"/>
              <w:ind w:firstLine="0" w:firstLineChars="0"/>
              <w:jc w:val="center"/>
              <w:rPr>
                <w:rFonts w:ascii="Times New Roman" w:hAnsi="Times New Roman" w:eastAsia="楷体_GB2312"/>
                <w:color w:val="000000" w:themeColor="text1"/>
                <w:sz w:val="24"/>
                <w:szCs w:val="24"/>
                <w14:textFill>
                  <w14:solidFill>
                    <w14:schemeClr w14:val="tx1"/>
                  </w14:solidFill>
                </w14:textFill>
              </w:rPr>
            </w:pPr>
            <w:r>
              <w:rPr>
                <w:rFonts w:hint="eastAsia" w:ascii="Times New Roman" w:hAnsi="Times New Roman" w:eastAsia="楷体_GB2312"/>
                <w:color w:val="000000" w:themeColor="text1"/>
                <w:sz w:val="24"/>
                <w:szCs w:val="24"/>
                <w14:textFill>
                  <w14:solidFill>
                    <w14:schemeClr w14:val="tx1"/>
                  </w14:solidFill>
                </w14:textFill>
              </w:rPr>
              <w:t>15.7</w:t>
            </w:r>
          </w:p>
        </w:tc>
        <w:tc>
          <w:tcPr>
            <w:tcW w:w="1017" w:type="dxa"/>
            <w:vAlign w:val="center"/>
          </w:tcPr>
          <w:p w14:paraId="717121C3">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0.91</w:t>
            </w:r>
          </w:p>
        </w:tc>
        <w:tc>
          <w:tcPr>
            <w:tcW w:w="1119" w:type="dxa"/>
            <w:vMerge w:val="continue"/>
            <w:vAlign w:val="center"/>
          </w:tcPr>
          <w:p w14:paraId="1C292E41">
            <w:pPr>
              <w:spacing w:line="240" w:lineRule="auto"/>
              <w:ind w:firstLine="0" w:firstLineChars="0"/>
              <w:jc w:val="left"/>
              <w:rPr>
                <w:rFonts w:ascii="Times New Roman" w:hAnsi="Times New Roman" w:eastAsia="楷体_GB2312" w:cs="楷体_GB2312"/>
                <w:sz w:val="24"/>
                <w:szCs w:val="24"/>
              </w:rPr>
            </w:pPr>
          </w:p>
        </w:tc>
      </w:tr>
      <w:tr w14:paraId="3148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67" w:type="dxa"/>
            <w:vMerge w:val="continue"/>
            <w:vAlign w:val="center"/>
          </w:tcPr>
          <w:p w14:paraId="1BB2F5C1">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3B8AB6C5">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7</w:t>
            </w:r>
          </w:p>
        </w:tc>
        <w:tc>
          <w:tcPr>
            <w:tcW w:w="2548" w:type="dxa"/>
            <w:gridSpan w:val="2"/>
            <w:vAlign w:val="center"/>
          </w:tcPr>
          <w:p w14:paraId="53926C3F">
            <w:pPr>
              <w:spacing w:line="240" w:lineRule="auto"/>
              <w:ind w:firstLine="0" w:firstLineChars="0"/>
              <w:jc w:val="left"/>
              <w:rPr>
                <w:rFonts w:ascii="Times New Roman" w:hAnsi="Times New Roman" w:eastAsia="楷体_GB2312" w:cs="楷体_GB2312"/>
                <w:sz w:val="24"/>
                <w:szCs w:val="24"/>
                <w:highlight w:val="yellow"/>
              </w:rPr>
            </w:pPr>
            <w:r>
              <w:rPr>
                <w:rFonts w:hint="eastAsia" w:ascii="Times New Roman" w:hAnsi="Times New Roman" w:eastAsia="楷体_GB2312" w:cs="楷体_GB2312"/>
                <w:sz w:val="24"/>
                <w:szCs w:val="24"/>
                <w:highlight w:val="yellow"/>
              </w:rPr>
              <w:t>养老机构护理型床位占比（%）</w:t>
            </w:r>
          </w:p>
        </w:tc>
        <w:tc>
          <w:tcPr>
            <w:tcW w:w="1255" w:type="dxa"/>
            <w:vAlign w:val="center"/>
          </w:tcPr>
          <w:p w14:paraId="334F8E12">
            <w:pPr>
              <w:spacing w:line="240" w:lineRule="auto"/>
              <w:ind w:firstLine="0" w:firstLineChars="0"/>
              <w:jc w:val="center"/>
              <w:rPr>
                <w:rFonts w:ascii="Times New Roman" w:hAnsi="Times New Roman" w:eastAsia="楷体_GB2312" w:cs="楷体_GB2312"/>
                <w:sz w:val="24"/>
                <w:szCs w:val="24"/>
                <w:highlight w:val="yellow"/>
              </w:rPr>
            </w:pPr>
          </w:p>
        </w:tc>
        <w:tc>
          <w:tcPr>
            <w:tcW w:w="1268" w:type="dxa"/>
            <w:vAlign w:val="center"/>
          </w:tcPr>
          <w:p w14:paraId="0E0A1292">
            <w:pPr>
              <w:spacing w:line="240" w:lineRule="auto"/>
              <w:ind w:firstLine="0" w:firstLineChars="0"/>
              <w:jc w:val="center"/>
              <w:rPr>
                <w:rFonts w:ascii="Times New Roman" w:hAnsi="Times New Roman" w:eastAsia="楷体_GB2312" w:cs="楷体_GB2312"/>
                <w:sz w:val="24"/>
                <w:szCs w:val="24"/>
                <w:highlight w:val="yellow"/>
              </w:rPr>
            </w:pPr>
          </w:p>
        </w:tc>
        <w:tc>
          <w:tcPr>
            <w:tcW w:w="1017" w:type="dxa"/>
            <w:vAlign w:val="center"/>
          </w:tcPr>
          <w:p w14:paraId="33773033">
            <w:pPr>
              <w:spacing w:line="240" w:lineRule="auto"/>
              <w:ind w:firstLine="0" w:firstLineChars="0"/>
              <w:jc w:val="center"/>
              <w:rPr>
                <w:rFonts w:ascii="Times New Roman" w:hAnsi="Times New Roman" w:eastAsia="楷体_GB2312" w:cs="楷体_GB2312"/>
                <w:sz w:val="24"/>
                <w:szCs w:val="24"/>
                <w:highlight w:val="yellow"/>
              </w:rPr>
            </w:pPr>
          </w:p>
        </w:tc>
        <w:tc>
          <w:tcPr>
            <w:tcW w:w="1119" w:type="dxa"/>
            <w:vAlign w:val="center"/>
          </w:tcPr>
          <w:p w14:paraId="7E80E11A">
            <w:pPr>
              <w:spacing w:line="240" w:lineRule="auto"/>
              <w:ind w:firstLine="0" w:firstLineChars="0"/>
              <w:jc w:val="center"/>
              <w:rPr>
                <w:rFonts w:ascii="Times New Roman" w:hAnsi="Times New Roman" w:eastAsia="楷体_GB2312" w:cs="楷体_GB2312"/>
                <w:sz w:val="24"/>
                <w:szCs w:val="24"/>
                <w:highlight w:val="yellow"/>
              </w:rPr>
            </w:pPr>
            <w:r>
              <w:rPr>
                <w:rFonts w:hint="eastAsia" w:ascii="Times New Roman" w:hAnsi="Times New Roman" w:eastAsia="楷体_GB2312" w:cs="楷体_GB2312"/>
                <w:sz w:val="24"/>
                <w:szCs w:val="24"/>
                <w:highlight w:val="yellow"/>
              </w:rPr>
              <w:t>预期性</w:t>
            </w:r>
          </w:p>
        </w:tc>
      </w:tr>
      <w:tr w14:paraId="7BFC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67" w:type="dxa"/>
            <w:vMerge w:val="continue"/>
            <w:vAlign w:val="center"/>
          </w:tcPr>
          <w:p w14:paraId="487DE41B">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20A4BF6B">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8</w:t>
            </w:r>
          </w:p>
        </w:tc>
        <w:tc>
          <w:tcPr>
            <w:tcW w:w="2548" w:type="dxa"/>
            <w:gridSpan w:val="2"/>
            <w:vAlign w:val="center"/>
          </w:tcPr>
          <w:p w14:paraId="6B503D04">
            <w:pPr>
              <w:spacing w:line="240" w:lineRule="auto"/>
              <w:ind w:firstLine="0" w:firstLineChars="0"/>
              <w:jc w:val="left"/>
              <w:rPr>
                <w:rFonts w:ascii="Times New Roman" w:hAnsi="Times New Roman" w:eastAsia="楷体_GB2312" w:cs="楷体_GB2312"/>
                <w:sz w:val="24"/>
                <w:szCs w:val="24"/>
                <w:highlight w:val="yellow"/>
              </w:rPr>
            </w:pPr>
            <w:r>
              <w:rPr>
                <w:rFonts w:hint="eastAsia" w:ascii="Times New Roman" w:hAnsi="Times New Roman" w:eastAsia="楷体_GB2312" w:cs="楷体_GB2312"/>
                <w:sz w:val="24"/>
                <w:szCs w:val="24"/>
                <w:highlight w:val="yellow"/>
              </w:rPr>
              <w:t>3岁以下婴幼儿入托率提高（百分点）</w:t>
            </w:r>
          </w:p>
        </w:tc>
        <w:tc>
          <w:tcPr>
            <w:tcW w:w="1255" w:type="dxa"/>
            <w:vAlign w:val="center"/>
          </w:tcPr>
          <w:p w14:paraId="0041B7CC">
            <w:pPr>
              <w:spacing w:line="240" w:lineRule="auto"/>
              <w:ind w:firstLine="0" w:firstLineChars="0"/>
              <w:jc w:val="center"/>
              <w:rPr>
                <w:rFonts w:ascii="Times New Roman" w:hAnsi="Times New Roman" w:eastAsia="楷体_GB2312" w:cs="楷体_GB2312"/>
                <w:sz w:val="24"/>
                <w:szCs w:val="24"/>
                <w:highlight w:val="yellow"/>
              </w:rPr>
            </w:pPr>
          </w:p>
        </w:tc>
        <w:tc>
          <w:tcPr>
            <w:tcW w:w="1268" w:type="dxa"/>
            <w:vAlign w:val="center"/>
          </w:tcPr>
          <w:p w14:paraId="7434AB9A">
            <w:pPr>
              <w:spacing w:line="240" w:lineRule="auto"/>
              <w:ind w:firstLine="0" w:firstLineChars="0"/>
              <w:jc w:val="center"/>
              <w:rPr>
                <w:rFonts w:ascii="Times New Roman" w:hAnsi="Times New Roman" w:eastAsia="楷体_GB2312" w:cs="楷体_GB2312"/>
                <w:sz w:val="24"/>
                <w:szCs w:val="24"/>
                <w:highlight w:val="yellow"/>
              </w:rPr>
            </w:pPr>
          </w:p>
        </w:tc>
        <w:tc>
          <w:tcPr>
            <w:tcW w:w="1017" w:type="dxa"/>
            <w:vAlign w:val="center"/>
          </w:tcPr>
          <w:p w14:paraId="23A83061">
            <w:pPr>
              <w:spacing w:line="240" w:lineRule="auto"/>
              <w:ind w:firstLine="0" w:firstLineChars="0"/>
              <w:jc w:val="center"/>
              <w:rPr>
                <w:rFonts w:ascii="Times New Roman" w:hAnsi="Times New Roman" w:eastAsia="楷体_GB2312" w:cs="楷体_GB2312"/>
                <w:sz w:val="24"/>
                <w:szCs w:val="24"/>
                <w:highlight w:val="yellow"/>
              </w:rPr>
            </w:pPr>
          </w:p>
        </w:tc>
        <w:tc>
          <w:tcPr>
            <w:tcW w:w="1119" w:type="dxa"/>
            <w:vAlign w:val="center"/>
          </w:tcPr>
          <w:p w14:paraId="0654BDA7">
            <w:pPr>
              <w:spacing w:line="240" w:lineRule="auto"/>
              <w:ind w:firstLine="0" w:firstLineChars="0"/>
              <w:jc w:val="center"/>
              <w:rPr>
                <w:rFonts w:ascii="Times New Roman" w:hAnsi="Times New Roman" w:eastAsia="楷体_GB2312" w:cs="楷体_GB2312"/>
                <w:sz w:val="24"/>
                <w:szCs w:val="24"/>
                <w:highlight w:val="yellow"/>
              </w:rPr>
            </w:pPr>
            <w:r>
              <w:rPr>
                <w:rFonts w:hint="eastAsia" w:ascii="Times New Roman" w:hAnsi="Times New Roman" w:eastAsia="楷体_GB2312" w:cs="楷体_GB2312"/>
                <w:sz w:val="24"/>
                <w:szCs w:val="24"/>
                <w:highlight w:val="yellow"/>
              </w:rPr>
              <w:t>预期性</w:t>
            </w:r>
          </w:p>
        </w:tc>
      </w:tr>
      <w:tr w14:paraId="7081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67" w:type="dxa"/>
            <w:vMerge w:val="continue"/>
            <w:vAlign w:val="center"/>
          </w:tcPr>
          <w:p w14:paraId="1B85BEDA">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74F7611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9</w:t>
            </w:r>
          </w:p>
        </w:tc>
        <w:tc>
          <w:tcPr>
            <w:tcW w:w="2548" w:type="dxa"/>
            <w:gridSpan w:val="2"/>
            <w:vAlign w:val="center"/>
          </w:tcPr>
          <w:p w14:paraId="5153F25D">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rPr>
              <w:t>人均预期寿命（岁）</w:t>
            </w:r>
          </w:p>
        </w:tc>
        <w:tc>
          <w:tcPr>
            <w:tcW w:w="1255" w:type="dxa"/>
            <w:vAlign w:val="center"/>
          </w:tcPr>
          <w:p w14:paraId="1C85B95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80.5</w:t>
            </w:r>
          </w:p>
        </w:tc>
        <w:tc>
          <w:tcPr>
            <w:tcW w:w="1268" w:type="dxa"/>
            <w:vAlign w:val="center"/>
          </w:tcPr>
          <w:p w14:paraId="512348F8">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82</w:t>
            </w:r>
          </w:p>
        </w:tc>
        <w:tc>
          <w:tcPr>
            <w:tcW w:w="1017" w:type="dxa"/>
            <w:vAlign w:val="center"/>
          </w:tcPr>
          <w:p w14:paraId="51B32530">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w:t>
            </w:r>
          </w:p>
        </w:tc>
        <w:tc>
          <w:tcPr>
            <w:tcW w:w="1119" w:type="dxa"/>
            <w:vAlign w:val="center"/>
          </w:tcPr>
          <w:p w14:paraId="60A68D2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预期性</w:t>
            </w:r>
          </w:p>
        </w:tc>
      </w:tr>
      <w:tr w14:paraId="1C1A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667" w:type="dxa"/>
            <w:vMerge w:val="restart"/>
            <w:vAlign w:val="center"/>
          </w:tcPr>
          <w:p w14:paraId="2A289D05">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绿色生态</w:t>
            </w:r>
          </w:p>
        </w:tc>
        <w:tc>
          <w:tcPr>
            <w:tcW w:w="604" w:type="dxa"/>
            <w:vAlign w:val="center"/>
          </w:tcPr>
          <w:p w14:paraId="731C9EC2">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10</w:t>
            </w:r>
          </w:p>
        </w:tc>
        <w:tc>
          <w:tcPr>
            <w:tcW w:w="2548" w:type="dxa"/>
            <w:gridSpan w:val="2"/>
            <w:vAlign w:val="center"/>
          </w:tcPr>
          <w:p w14:paraId="2C035F6E">
            <w:pPr>
              <w:spacing w:line="320" w:lineRule="exact"/>
              <w:ind w:firstLine="0" w:firstLineChars="0"/>
              <w:rPr>
                <w:rFonts w:ascii="Times New Roman" w:hAnsi="Times New Roman" w:eastAsia="楷体_GB2312" w:cs="楷体_GB2312"/>
                <w:sz w:val="24"/>
                <w:szCs w:val="24"/>
              </w:rPr>
            </w:pPr>
            <w:r>
              <w:rPr>
                <w:rFonts w:hint="eastAsia" w:ascii="Times New Roman" w:hAnsi="Times New Roman" w:eastAsia="楷体_GB2312" w:cs="楷体_GB2312"/>
                <w:sz w:val="24"/>
                <w:szCs w:val="24"/>
              </w:rPr>
              <w:t>城市细颗粒物（PM</w:t>
            </w:r>
            <w:r>
              <w:rPr>
                <w:rFonts w:hint="eastAsia" w:ascii="Times New Roman" w:hAnsi="Times New Roman" w:eastAsia="楷体_GB2312" w:cs="楷体_GB2312"/>
                <w:sz w:val="24"/>
                <w:szCs w:val="24"/>
                <w:vertAlign w:val="subscript"/>
              </w:rPr>
              <w:t>2.5</w:t>
            </w:r>
            <w:r>
              <w:rPr>
                <w:rFonts w:hint="eastAsia" w:ascii="Times New Roman" w:hAnsi="Times New Roman" w:eastAsia="楷体_GB2312" w:cs="楷体_GB2312"/>
                <w:sz w:val="24"/>
                <w:szCs w:val="24"/>
              </w:rPr>
              <w:t>）浓度（微克/立方米）</w:t>
            </w:r>
          </w:p>
        </w:tc>
        <w:tc>
          <w:tcPr>
            <w:tcW w:w="1255" w:type="dxa"/>
            <w:vAlign w:val="center"/>
          </w:tcPr>
          <w:p w14:paraId="1870C89E">
            <w:pPr>
              <w:spacing w:line="240" w:lineRule="auto"/>
              <w:ind w:firstLine="0" w:firstLineChars="0"/>
              <w:jc w:val="center"/>
              <w:rPr>
                <w:rFonts w:ascii="Times New Roman" w:hAnsi="Times New Roman" w:eastAsia="楷体_GB2312" w:cs="楷体_GB2312"/>
                <w:sz w:val="24"/>
                <w:szCs w:val="24"/>
              </w:rPr>
            </w:pPr>
          </w:p>
        </w:tc>
        <w:tc>
          <w:tcPr>
            <w:tcW w:w="1268" w:type="dxa"/>
            <w:vAlign w:val="center"/>
          </w:tcPr>
          <w:p w14:paraId="39CD1E14">
            <w:pPr>
              <w:spacing w:line="240" w:lineRule="auto"/>
              <w:ind w:firstLine="0" w:firstLineChars="0"/>
              <w:jc w:val="center"/>
              <w:rPr>
                <w:rFonts w:ascii="Times New Roman" w:hAnsi="Times New Roman" w:eastAsia="楷体_GB2312" w:cs="楷体_GB2312"/>
                <w:sz w:val="24"/>
                <w:szCs w:val="24"/>
              </w:rPr>
            </w:pPr>
          </w:p>
        </w:tc>
        <w:tc>
          <w:tcPr>
            <w:tcW w:w="1017" w:type="dxa"/>
            <w:vMerge w:val="restart"/>
            <w:vAlign w:val="center"/>
          </w:tcPr>
          <w:p w14:paraId="0D07C673">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完成上级下达任务</w:t>
            </w:r>
          </w:p>
        </w:tc>
        <w:tc>
          <w:tcPr>
            <w:tcW w:w="1119" w:type="dxa"/>
            <w:vAlign w:val="center"/>
          </w:tcPr>
          <w:p w14:paraId="7E54F3CE">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约束性</w:t>
            </w:r>
          </w:p>
        </w:tc>
      </w:tr>
      <w:tr w14:paraId="5F6A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667" w:type="dxa"/>
            <w:vMerge w:val="continue"/>
            <w:vAlign w:val="center"/>
          </w:tcPr>
          <w:p w14:paraId="2F18C313">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640082C5">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11</w:t>
            </w:r>
          </w:p>
        </w:tc>
        <w:tc>
          <w:tcPr>
            <w:tcW w:w="2548" w:type="dxa"/>
            <w:gridSpan w:val="2"/>
            <w:vAlign w:val="center"/>
          </w:tcPr>
          <w:p w14:paraId="02A5BBBA">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rPr>
              <w:t>单位地区生产总值二氧化碳排放降低（%）</w:t>
            </w:r>
          </w:p>
        </w:tc>
        <w:tc>
          <w:tcPr>
            <w:tcW w:w="1255" w:type="dxa"/>
            <w:vAlign w:val="center"/>
          </w:tcPr>
          <w:p w14:paraId="2B1F8139">
            <w:pPr>
              <w:spacing w:line="240" w:lineRule="auto"/>
              <w:ind w:firstLine="0" w:firstLineChars="0"/>
              <w:jc w:val="center"/>
              <w:rPr>
                <w:rFonts w:ascii="Times New Roman" w:hAnsi="Times New Roman" w:eastAsia="楷体_GB2312" w:cs="楷体_GB2312"/>
                <w:sz w:val="24"/>
                <w:szCs w:val="24"/>
              </w:rPr>
            </w:pPr>
          </w:p>
        </w:tc>
        <w:tc>
          <w:tcPr>
            <w:tcW w:w="1268" w:type="dxa"/>
            <w:vAlign w:val="center"/>
          </w:tcPr>
          <w:p w14:paraId="72AD3974">
            <w:pPr>
              <w:spacing w:line="240" w:lineRule="auto"/>
              <w:ind w:firstLine="0" w:firstLineChars="0"/>
              <w:jc w:val="center"/>
              <w:rPr>
                <w:rFonts w:ascii="Times New Roman" w:hAnsi="Times New Roman" w:eastAsia="楷体_GB2312" w:cs="楷体_GB2312"/>
                <w:sz w:val="24"/>
                <w:szCs w:val="24"/>
              </w:rPr>
            </w:pPr>
          </w:p>
        </w:tc>
        <w:tc>
          <w:tcPr>
            <w:tcW w:w="1017" w:type="dxa"/>
            <w:vMerge w:val="continue"/>
            <w:vAlign w:val="center"/>
          </w:tcPr>
          <w:p w14:paraId="7A820E80">
            <w:pPr>
              <w:spacing w:line="240" w:lineRule="auto"/>
              <w:ind w:firstLine="0" w:firstLineChars="0"/>
              <w:jc w:val="center"/>
              <w:rPr>
                <w:rFonts w:ascii="Times New Roman" w:hAnsi="Times New Roman" w:eastAsia="楷体_GB2312" w:cs="楷体_GB2312"/>
                <w:sz w:val="24"/>
                <w:szCs w:val="24"/>
              </w:rPr>
            </w:pPr>
          </w:p>
        </w:tc>
        <w:tc>
          <w:tcPr>
            <w:tcW w:w="1119" w:type="dxa"/>
            <w:vAlign w:val="center"/>
          </w:tcPr>
          <w:p w14:paraId="6A732BF9">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约束性</w:t>
            </w:r>
          </w:p>
        </w:tc>
      </w:tr>
      <w:tr w14:paraId="06F7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667" w:type="dxa"/>
            <w:vMerge w:val="continue"/>
            <w:vAlign w:val="center"/>
          </w:tcPr>
          <w:p w14:paraId="2398C228">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365D3A18">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12</w:t>
            </w:r>
          </w:p>
        </w:tc>
        <w:tc>
          <w:tcPr>
            <w:tcW w:w="2548" w:type="dxa"/>
            <w:gridSpan w:val="2"/>
            <w:vAlign w:val="center"/>
          </w:tcPr>
          <w:p w14:paraId="318A8216">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rPr>
              <w:t>优良水体比例（%）</w:t>
            </w:r>
          </w:p>
        </w:tc>
        <w:tc>
          <w:tcPr>
            <w:tcW w:w="1255" w:type="dxa"/>
            <w:vAlign w:val="center"/>
          </w:tcPr>
          <w:p w14:paraId="29AD57E4">
            <w:pPr>
              <w:spacing w:line="240" w:lineRule="auto"/>
              <w:ind w:firstLine="0" w:firstLineChars="0"/>
              <w:jc w:val="center"/>
              <w:rPr>
                <w:rFonts w:ascii="Times New Roman" w:hAnsi="Times New Roman" w:eastAsia="楷体_GB2312" w:cs="楷体_GB2312"/>
                <w:sz w:val="24"/>
                <w:szCs w:val="24"/>
              </w:rPr>
            </w:pPr>
          </w:p>
        </w:tc>
        <w:tc>
          <w:tcPr>
            <w:tcW w:w="1268" w:type="dxa"/>
            <w:vAlign w:val="center"/>
          </w:tcPr>
          <w:p w14:paraId="7A118DC2">
            <w:pPr>
              <w:spacing w:line="240" w:lineRule="auto"/>
              <w:ind w:firstLine="0" w:firstLineChars="0"/>
              <w:jc w:val="center"/>
              <w:rPr>
                <w:rFonts w:ascii="Times New Roman" w:hAnsi="Times New Roman" w:eastAsia="楷体_GB2312" w:cs="楷体_GB2312"/>
                <w:sz w:val="24"/>
                <w:szCs w:val="24"/>
              </w:rPr>
            </w:pPr>
          </w:p>
        </w:tc>
        <w:tc>
          <w:tcPr>
            <w:tcW w:w="1017" w:type="dxa"/>
            <w:vMerge w:val="continue"/>
            <w:vAlign w:val="center"/>
          </w:tcPr>
          <w:p w14:paraId="0E7833B5">
            <w:pPr>
              <w:spacing w:line="240" w:lineRule="auto"/>
              <w:ind w:firstLine="0" w:firstLineChars="0"/>
              <w:jc w:val="center"/>
              <w:rPr>
                <w:rFonts w:ascii="Times New Roman" w:hAnsi="Times New Roman" w:eastAsia="楷体_GB2312" w:cs="楷体_GB2312"/>
                <w:sz w:val="24"/>
                <w:szCs w:val="24"/>
              </w:rPr>
            </w:pPr>
          </w:p>
        </w:tc>
        <w:tc>
          <w:tcPr>
            <w:tcW w:w="1119" w:type="dxa"/>
            <w:vAlign w:val="center"/>
          </w:tcPr>
          <w:p w14:paraId="34644D58">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约束性</w:t>
            </w:r>
          </w:p>
        </w:tc>
      </w:tr>
      <w:tr w14:paraId="70CD0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67" w:type="dxa"/>
            <w:vMerge w:val="continue"/>
            <w:vAlign w:val="center"/>
          </w:tcPr>
          <w:p w14:paraId="70F2CF00">
            <w:pPr>
              <w:spacing w:line="240" w:lineRule="auto"/>
              <w:ind w:firstLine="0" w:firstLineChars="0"/>
              <w:jc w:val="center"/>
              <w:rPr>
                <w:rFonts w:ascii="Times New Roman" w:hAnsi="Times New Roman" w:eastAsia="楷体_GB2312" w:cs="楷体_GB2312"/>
                <w:sz w:val="24"/>
                <w:szCs w:val="24"/>
              </w:rPr>
            </w:pPr>
          </w:p>
        </w:tc>
        <w:tc>
          <w:tcPr>
            <w:tcW w:w="604" w:type="dxa"/>
            <w:vAlign w:val="center"/>
          </w:tcPr>
          <w:p w14:paraId="2DFC33E1">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13</w:t>
            </w:r>
          </w:p>
        </w:tc>
        <w:tc>
          <w:tcPr>
            <w:tcW w:w="2548" w:type="dxa"/>
            <w:gridSpan w:val="2"/>
            <w:vAlign w:val="center"/>
          </w:tcPr>
          <w:p w14:paraId="3F5F0266">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highlight w:val="yellow"/>
              </w:rPr>
              <w:t>森林覆盖率</w:t>
            </w:r>
            <w:r>
              <w:rPr>
                <w:rFonts w:hint="eastAsia" w:ascii="Times New Roman" w:hAnsi="Times New Roman" w:eastAsia="楷体_GB2312" w:cs="楷体_GB2312"/>
                <w:sz w:val="24"/>
                <w:szCs w:val="24"/>
              </w:rPr>
              <w:t>（%）</w:t>
            </w:r>
          </w:p>
        </w:tc>
        <w:tc>
          <w:tcPr>
            <w:tcW w:w="1255" w:type="dxa"/>
            <w:vAlign w:val="center"/>
          </w:tcPr>
          <w:p w14:paraId="3AEBDDB8">
            <w:pPr>
              <w:spacing w:line="240" w:lineRule="auto"/>
              <w:ind w:firstLine="0" w:firstLineChars="0"/>
              <w:jc w:val="center"/>
              <w:rPr>
                <w:rFonts w:ascii="Times New Roman" w:hAnsi="Times New Roman" w:eastAsia="楷体_GB2312" w:cs="楷体_GB2312"/>
                <w:sz w:val="24"/>
                <w:szCs w:val="24"/>
              </w:rPr>
            </w:pPr>
          </w:p>
        </w:tc>
        <w:tc>
          <w:tcPr>
            <w:tcW w:w="1268" w:type="dxa"/>
            <w:vAlign w:val="center"/>
          </w:tcPr>
          <w:p w14:paraId="05A5AD72">
            <w:pPr>
              <w:spacing w:line="240" w:lineRule="auto"/>
              <w:ind w:firstLine="0" w:firstLineChars="0"/>
              <w:jc w:val="center"/>
              <w:rPr>
                <w:rFonts w:ascii="Times New Roman" w:hAnsi="Times New Roman" w:eastAsia="楷体_GB2312" w:cs="楷体_GB2312"/>
                <w:sz w:val="24"/>
                <w:szCs w:val="24"/>
              </w:rPr>
            </w:pPr>
          </w:p>
        </w:tc>
        <w:tc>
          <w:tcPr>
            <w:tcW w:w="1017" w:type="dxa"/>
            <w:vAlign w:val="center"/>
          </w:tcPr>
          <w:p w14:paraId="3FFB9A79">
            <w:pPr>
              <w:spacing w:line="240" w:lineRule="auto"/>
              <w:ind w:firstLine="0" w:firstLineChars="0"/>
              <w:jc w:val="center"/>
              <w:rPr>
                <w:rFonts w:ascii="Times New Roman" w:hAnsi="Times New Roman" w:eastAsia="楷体_GB2312" w:cs="楷体_GB2312"/>
                <w:sz w:val="24"/>
                <w:szCs w:val="24"/>
              </w:rPr>
            </w:pPr>
          </w:p>
        </w:tc>
        <w:tc>
          <w:tcPr>
            <w:tcW w:w="1119" w:type="dxa"/>
            <w:vAlign w:val="center"/>
          </w:tcPr>
          <w:p w14:paraId="3261E64E">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约束性</w:t>
            </w:r>
          </w:p>
        </w:tc>
      </w:tr>
      <w:tr w14:paraId="3FAA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67" w:type="dxa"/>
            <w:vAlign w:val="center"/>
          </w:tcPr>
          <w:p w14:paraId="04FA80FC">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安全保障</w:t>
            </w:r>
          </w:p>
        </w:tc>
        <w:tc>
          <w:tcPr>
            <w:tcW w:w="604" w:type="dxa"/>
            <w:vAlign w:val="center"/>
          </w:tcPr>
          <w:p w14:paraId="1932EC63">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14</w:t>
            </w:r>
          </w:p>
        </w:tc>
        <w:tc>
          <w:tcPr>
            <w:tcW w:w="2548" w:type="dxa"/>
            <w:gridSpan w:val="2"/>
            <w:vAlign w:val="center"/>
          </w:tcPr>
          <w:p w14:paraId="51A34537">
            <w:pPr>
              <w:spacing w:line="240" w:lineRule="auto"/>
              <w:ind w:firstLine="0" w:firstLineChars="0"/>
              <w:jc w:val="left"/>
              <w:rPr>
                <w:rFonts w:ascii="Times New Roman" w:hAnsi="Times New Roman" w:eastAsia="楷体_GB2312" w:cs="楷体_GB2312"/>
                <w:sz w:val="24"/>
                <w:szCs w:val="24"/>
              </w:rPr>
            </w:pPr>
            <w:r>
              <w:rPr>
                <w:rFonts w:hint="eastAsia" w:ascii="Times New Roman" w:hAnsi="Times New Roman" w:eastAsia="楷体_GB2312" w:cs="楷体_GB2312"/>
                <w:sz w:val="24"/>
                <w:szCs w:val="24"/>
              </w:rPr>
              <w:t>粮食综合生产能力（亿斤）</w:t>
            </w:r>
          </w:p>
        </w:tc>
        <w:tc>
          <w:tcPr>
            <w:tcW w:w="1255" w:type="dxa"/>
            <w:vAlign w:val="center"/>
          </w:tcPr>
          <w:p w14:paraId="7FA3321B">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0.27</w:t>
            </w:r>
          </w:p>
        </w:tc>
        <w:tc>
          <w:tcPr>
            <w:tcW w:w="1268" w:type="dxa"/>
            <w:vAlign w:val="center"/>
          </w:tcPr>
          <w:p w14:paraId="32C641ED">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0.279</w:t>
            </w:r>
          </w:p>
        </w:tc>
        <w:tc>
          <w:tcPr>
            <w:tcW w:w="1017" w:type="dxa"/>
            <w:vAlign w:val="center"/>
          </w:tcPr>
          <w:p w14:paraId="7ADBEE58">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0.65</w:t>
            </w:r>
          </w:p>
        </w:tc>
        <w:tc>
          <w:tcPr>
            <w:tcW w:w="1119" w:type="dxa"/>
            <w:vAlign w:val="center"/>
          </w:tcPr>
          <w:p w14:paraId="6253B096">
            <w:pPr>
              <w:spacing w:line="240" w:lineRule="auto"/>
              <w:ind w:firstLine="0" w:firstLineChars="0"/>
              <w:jc w:val="center"/>
              <w:rPr>
                <w:rFonts w:ascii="Times New Roman" w:hAnsi="Times New Roman" w:eastAsia="楷体_GB2312" w:cs="楷体_GB2312"/>
                <w:sz w:val="24"/>
                <w:szCs w:val="24"/>
              </w:rPr>
            </w:pPr>
            <w:r>
              <w:rPr>
                <w:rFonts w:hint="eastAsia" w:ascii="Times New Roman" w:hAnsi="Times New Roman" w:eastAsia="楷体_GB2312" w:cs="楷体_GB2312"/>
                <w:sz w:val="24"/>
                <w:szCs w:val="24"/>
              </w:rPr>
              <w:t>约束性</w:t>
            </w:r>
          </w:p>
        </w:tc>
      </w:tr>
    </w:tbl>
    <w:p w14:paraId="0245BFF8">
      <w:pPr>
        <w:pStyle w:val="11"/>
        <w:overflowPunct w:val="0"/>
        <w:rPr>
          <w:rFonts w:ascii="Times New Roman" w:hAnsi="Times New Roman"/>
        </w:rPr>
      </w:pPr>
      <w:bookmarkStart w:id="34" w:name="_Toc26258"/>
    </w:p>
    <w:p w14:paraId="48E23A6D">
      <w:pPr>
        <w:ind w:firstLine="720"/>
        <w:rPr>
          <w:rFonts w:ascii="Times New Roman" w:hAnsi="Times New Roman" w:eastAsia="方正小标宋简体" w:cs="Times New Roman"/>
          <w:bCs/>
          <w:kern w:val="2"/>
          <w:sz w:val="36"/>
          <w:szCs w:val="36"/>
        </w:rPr>
      </w:pPr>
      <w:r>
        <w:rPr>
          <w:rFonts w:hint="eastAsia" w:ascii="Times New Roman" w:hAnsi="Times New Roman" w:eastAsia="方正小标宋简体" w:cs="Times New Roman"/>
          <w:bCs/>
          <w:kern w:val="2"/>
          <w:sz w:val="36"/>
          <w:szCs w:val="36"/>
        </w:rPr>
        <w:br w:type="page"/>
      </w:r>
    </w:p>
    <w:p w14:paraId="29E83D52">
      <w:pPr>
        <w:pStyle w:val="2"/>
        <w:spacing w:line="580" w:lineRule="exact"/>
        <w:ind w:firstLine="0" w:firstLineChars="0"/>
        <w:jc w:val="center"/>
        <w:rPr>
          <w:rFonts w:ascii="Times New Roman" w:hAnsi="Times New Roman" w:eastAsia="方正小标宋简体" w:cs="Times New Roman"/>
          <w:bCs/>
          <w:kern w:val="2"/>
          <w:sz w:val="36"/>
          <w:szCs w:val="36"/>
        </w:rPr>
      </w:pPr>
      <w:bookmarkStart w:id="35" w:name="_Toc1093"/>
      <w:r>
        <w:rPr>
          <w:rFonts w:hint="eastAsia" w:ascii="Times New Roman" w:hAnsi="Times New Roman" w:eastAsia="方正小标宋简体" w:cs="Times New Roman"/>
          <w:bCs/>
          <w:kern w:val="2"/>
          <w:sz w:val="36"/>
          <w:szCs w:val="36"/>
        </w:rPr>
        <w:t>第二章</w:t>
      </w:r>
      <w:bookmarkEnd w:id="34"/>
      <w:r>
        <w:rPr>
          <w:rFonts w:hint="eastAsia" w:ascii="Times New Roman" w:hAnsi="Times New Roman" w:eastAsia="方正小标宋简体" w:cs="Times New Roman"/>
          <w:bCs/>
          <w:kern w:val="2"/>
          <w:sz w:val="36"/>
          <w:szCs w:val="36"/>
        </w:rPr>
        <w:t xml:space="preserve"> 加快构建现代化产业体系，筑牢实体经济根基</w:t>
      </w:r>
      <w:bookmarkEnd w:id="35"/>
    </w:p>
    <w:p w14:paraId="4D85357A">
      <w:pPr>
        <w:ind w:firstLine="640"/>
        <w:rPr>
          <w:rFonts w:ascii="Times New Roman" w:hAnsi="Times New Roman"/>
        </w:rPr>
      </w:pPr>
    </w:p>
    <w:p w14:paraId="0A615620">
      <w:pPr>
        <w:ind w:firstLine="640"/>
        <w:rPr>
          <w:rFonts w:ascii="Times New Roman" w:hAnsi="Times New Roman"/>
        </w:rPr>
      </w:pPr>
      <w:r>
        <w:rPr>
          <w:rFonts w:hint="eastAsia" w:ascii="Times New Roman" w:hAnsi="Times New Roman"/>
        </w:rPr>
        <w:t>坚持把发展经济的着力点放在实体经济上，坚持智能化、绿色化、融合化方向，优化提升传统产业，培育壮大战略性新兴产业和未来产业，促进服务业优质高效发展，构建以先进制造业为骨干、现代服务业为特色的“433”现代化产业体系，夯实高质量发展和现代化建设的物质技术根基。</w:t>
      </w:r>
    </w:p>
    <w:p w14:paraId="5331C411">
      <w:pPr>
        <w:ind w:firstLine="640"/>
        <w:outlineLvl w:val="1"/>
        <w:rPr>
          <w:rFonts w:ascii="Times New Roman" w:hAnsi="Times New Roman"/>
        </w:rPr>
      </w:pPr>
      <w:bookmarkStart w:id="36" w:name="_Toc17767"/>
      <w:r>
        <w:rPr>
          <w:rFonts w:hint="eastAsia" w:ascii="Times New Roman" w:hAnsi="Times New Roman" w:eastAsia="黑体" w:cs="Times New Roman"/>
          <w:bCs/>
          <w:kern w:val="2"/>
          <w:szCs w:val="32"/>
        </w:rPr>
        <w:t>一、聚力发展龙头引领产业</w:t>
      </w:r>
      <w:bookmarkEnd w:id="36"/>
    </w:p>
    <w:p w14:paraId="373BB417">
      <w:pPr>
        <w:ind w:firstLine="640"/>
        <w:rPr>
          <w:rFonts w:ascii="Times New Roman" w:hAnsi="Times New Roman"/>
        </w:rPr>
      </w:pPr>
      <w:r>
        <w:rPr>
          <w:rFonts w:hint="eastAsia" w:ascii="Times New Roman" w:hAnsi="Times New Roman" w:eastAsia="楷体_GB2312" w:cs="楷体_GB2312"/>
          <w:kern w:val="2"/>
          <w:szCs w:val="32"/>
        </w:rPr>
        <w:t>（一）做优医养健康高端产业集群。</w:t>
      </w:r>
      <w:r>
        <w:rPr>
          <w:rFonts w:hint="eastAsia" w:ascii="Times New Roman" w:hAnsi="Times New Roman"/>
        </w:rPr>
        <w:t>对标全球一流医学中心，发挥济南国际医学中心要素富集优势，构筑以高水平医养结合为场景、以高能级科教资源为支撑、以高质量健康产业为引擎的创新生态，打造“以医养为核心、医学+为特色”的优质健康产业集群。聚焦高端医疗服务、医疗器械、新一代生物技术、数字医疗等领域，谋细谋实脑机接口、细胞与基因治疗、AI医疗等新赛道，全力招引推动一批省、市级重点项目落地实施。加快布局银发经济产业，做精做深康复辅具、特医食品、抗衰老产业等“槐荫智造”，加快推动“康养＋金融”“康养＋旅游”“康养＋体卫”多元融合，特色呈现银发经济消费体验场景，建设济南都市圈银发经济核心承载区。</w:t>
      </w:r>
    </w:p>
    <w:p w14:paraId="0878B020">
      <w:pPr>
        <w:ind w:firstLine="640"/>
        <w:rPr>
          <w:rFonts w:ascii="Times New Roman" w:hAnsi="Times New Roman"/>
        </w:rPr>
      </w:pPr>
      <w:r>
        <w:rPr>
          <w:rFonts w:hint="eastAsia" w:ascii="Times New Roman" w:hAnsi="Times New Roman" w:eastAsia="楷体_GB2312"/>
        </w:rPr>
        <w:t>（二）壮大提升集成电路产业集群。</w:t>
      </w:r>
      <w:r>
        <w:rPr>
          <w:rFonts w:hint="eastAsia" w:ascii="Times New Roman" w:hAnsi="Times New Roman"/>
        </w:rPr>
        <w:t>围绕全市集成电路产业布局，以第三代半导体为关键突破口，扩大碳化硅衬底材料生产规模，引育一批上下游单项冠军和专精特新企业，加强大尺寸碳化硅衬底和半导体设备研发制造。聚焦新能源汽车、AI数据中心、卫星通讯、国防军工、医疗影像、智能终端等场景，强化“材料—装备—设计—封测—应用”全链条协同，重点引进布局碳化硅功率器件设计、射频微波芯片设计、专用芯片设计、晶圆制造、高端封装与配套企业项目，打造全国重要的集成电路产业集群、第三代半导体产业集聚区。到2030年，集成电路产业规模达到30亿元。</w:t>
      </w:r>
    </w:p>
    <w:p w14:paraId="19095FF8">
      <w:pPr>
        <w:ind w:firstLine="640"/>
        <w:rPr>
          <w:rFonts w:ascii="Times New Roman" w:hAnsi="Times New Roman"/>
        </w:rPr>
      </w:pPr>
      <w:bookmarkStart w:id="37" w:name="_Hlk206055591"/>
      <w:r>
        <w:rPr>
          <w:rFonts w:hint="eastAsia" w:ascii="Times New Roman" w:hAnsi="Times New Roman" w:eastAsia="楷体_GB2312"/>
        </w:rPr>
        <w:t>（三）做强高端数控机床与机器人支柱产业集群。</w:t>
      </w:r>
      <w:r>
        <w:rPr>
          <w:rFonts w:hint="eastAsia" w:ascii="Times New Roman" w:hAnsi="Times New Roman"/>
        </w:rPr>
        <w:t>加强优势产品市场化布局，引进数控机床上下游产业链企业，打造工业母机产业集聚区。以人才、技术、项目引进为抓手，因地制宜发展机器人产业，围绕人工智能创新应用产业园项目建设，瞄准本体制造、核心零部件制造和智能系统，引进培育工业机器人、服务机器人、特种机器人、人形机器人研发生产制造企业和项目。到2030年，高端数控机床与机器人产业规模达到80亿元。</w:t>
      </w:r>
    </w:p>
    <w:bookmarkEnd w:id="37"/>
    <w:p w14:paraId="17B3643E">
      <w:pPr>
        <w:ind w:firstLine="640"/>
        <w:rPr>
          <w:rFonts w:ascii="Times New Roman" w:hAnsi="Times New Roman"/>
          <w:color w:val="0000FF"/>
        </w:rPr>
      </w:pPr>
      <w:r>
        <w:rPr>
          <w:rFonts w:hint="eastAsia" w:ascii="Times New Roman" w:hAnsi="Times New Roman" w:eastAsia="楷体_GB2312"/>
        </w:rPr>
        <w:t>（四）提升专用装备产业集群。</w:t>
      </w:r>
      <w:r>
        <w:rPr>
          <w:rFonts w:hint="eastAsia" w:ascii="Times New Roman" w:hAnsi="Times New Roman"/>
        </w:rPr>
        <w:t>立足企业所需，创新发展铁路轻量化材料、精密轴承、高端液压元件、定制化模具等优势产业制造，推动物流配套装备、轨道养护设备、数智化康养装备及消防、环卫、矿山等应用场景特种车关键零部件生产制造本地化布局，延伸服务型制造，拓展远程运维、设备再制造、定制化改装设计等增值服务，支持企业园区扩建、产能提升。积极参与京津冀、长三角装备制造产业分工协作，谋划落地一批补链强链产业项目，塑造产业发展新优势。到2030年，专用装备产业规模达到25亿元。</w:t>
      </w:r>
    </w:p>
    <w:p w14:paraId="58196C5F">
      <w:pPr>
        <w:pStyle w:val="3"/>
        <w:ind w:firstLine="640"/>
        <w:rPr>
          <w:rFonts w:ascii="Times New Roman" w:hAnsi="Times New Roman" w:eastAsia="黑体" w:cs="Times New Roman"/>
          <w:bCs/>
          <w:kern w:val="2"/>
          <w:szCs w:val="32"/>
        </w:rPr>
      </w:pPr>
      <w:bookmarkStart w:id="38" w:name="_Toc30316"/>
      <w:r>
        <w:rPr>
          <w:rFonts w:hint="eastAsia" w:ascii="Times New Roman" w:hAnsi="Times New Roman" w:eastAsia="黑体" w:cs="Times New Roman"/>
          <w:bCs/>
          <w:kern w:val="2"/>
          <w:szCs w:val="32"/>
        </w:rPr>
        <w:t>二、培育壮大特色品牌产业</w:t>
      </w:r>
      <w:bookmarkEnd w:id="38"/>
    </w:p>
    <w:p w14:paraId="625F6E26">
      <w:pPr>
        <w:adjustRightInd/>
        <w:snapToGrid/>
        <w:ind w:firstLine="640"/>
        <w:rPr>
          <w:rFonts w:ascii="Times New Roman" w:hAnsi="Times New Roman"/>
          <w:kern w:val="2"/>
          <w:szCs w:val="32"/>
        </w:rPr>
      </w:pPr>
      <w:r>
        <w:rPr>
          <w:rFonts w:hint="eastAsia" w:ascii="Times New Roman" w:hAnsi="Times New Roman" w:eastAsia="楷体_GB2312" w:cs="Times New Roman"/>
          <w:bCs/>
          <w:kern w:val="2"/>
          <w:szCs w:val="32"/>
        </w:rPr>
        <w:t>（一）做长做强汽车消费产业链条。</w:t>
      </w:r>
      <w:bookmarkStart w:id="39" w:name="OLE_LINK13"/>
      <w:r>
        <w:rPr>
          <w:rFonts w:hint="eastAsia" w:ascii="Times New Roman" w:hAnsi="Times New Roman"/>
          <w:kern w:val="2"/>
          <w:szCs w:val="32"/>
        </w:rPr>
        <w:t>以深化经十西路汽车产业带建设为核心，巩固扩大在全市的消费比重优势，提高“要买车，到槐荫”品牌知名度。积极推进匡山新能源汽车城、山东世通汽车城有限公司汽车主题综合体“大福MALL”、济南博奥特新能源汽车商城（后周汽车产业园）项目建设，</w:t>
      </w:r>
      <w:bookmarkStart w:id="40" w:name="OLE_LINK10"/>
      <w:r>
        <w:rPr>
          <w:rFonts w:hint="eastAsia" w:ascii="Times New Roman" w:hAnsi="Times New Roman"/>
          <w:kern w:val="2"/>
          <w:szCs w:val="32"/>
        </w:rPr>
        <w:t>聚焦销售、“后汽车”市场，前瞻性布局二手车、汽车金融、汽车租赁、汽车文化与运动等消费新场景、新业态，培育汽车消费新增量，提升汽车消费辐射影响力，打造汽车消费服务目的地</w:t>
      </w:r>
      <w:r>
        <w:rPr>
          <w:rFonts w:hint="eastAsia" w:ascii="Times New Roman" w:hAnsi="Times New Roman"/>
          <w:kern w:val="2"/>
          <w:szCs w:val="32"/>
        </w:rPr>
        <w:t>。</w:t>
      </w:r>
      <w:bookmarkEnd w:id="39"/>
      <w:bookmarkEnd w:id="40"/>
    </w:p>
    <w:p w14:paraId="02118864">
      <w:pPr>
        <w:adjustRightInd/>
        <w:snapToGrid/>
        <w:ind w:firstLine="640"/>
        <w:rPr>
          <w:rFonts w:ascii="Times New Roman" w:hAnsi="Times New Roman"/>
          <w:szCs w:val="32"/>
        </w:rPr>
      </w:pPr>
      <w:r>
        <w:rPr>
          <w:rFonts w:hint="eastAsia" w:ascii="Times New Roman" w:hAnsi="Times New Roman" w:eastAsia="楷体_GB2312"/>
          <w:kern w:val="2"/>
          <w:szCs w:val="32"/>
        </w:rPr>
        <w:t>（二）做优做精文化旅游产业内涵。</w:t>
      </w:r>
      <w:r>
        <w:rPr>
          <w:rFonts w:hint="eastAsia" w:ascii="Times New Roman" w:hAnsi="Times New Roman"/>
          <w:kern w:val="2"/>
          <w:szCs w:val="32"/>
        </w:rPr>
        <w:t>深耕“这里最槐荫”文旅品牌，深化“京沪文旅+联盟”跨区域协作，持续提升品牌影响力。挖掘黄河文化、商埠文化、非遗文化时代内涵和开发潜力，谋划打造一批高能级景区平台，推动印象济南·泉世界、济南方特东方神画等景区提质升级，加快“槐荫两三日”旅游线路扩容提质，丰富拓展度假康养、研学游、亲子游等新产品、新业态，推动农商文旅体产业融合发展，打造多元共生的文旅消费新场景。进一步发挥“一院四馆”等文化场馆集群效应，引育发展高品质演出和精品剧目，壮大文化演艺产业链，打造京沪走廊文化演艺集聚区。注重提升文旅综合配套能力，加强重点旅游标识体系建设，积极推进济南方特东方神画景区周边开发，形成文旅业态集群。进一步提升完善腊山河生态风情带、黄河文化生态廊道，打造“文旅新场景”体系，激活全域文旅消费增长引擎。</w:t>
      </w:r>
    </w:p>
    <w:p w14:paraId="75AA1CF9">
      <w:pPr>
        <w:ind w:firstLine="640"/>
        <w:rPr>
          <w:rFonts w:ascii="Times New Roman" w:hAnsi="Times New Roman"/>
        </w:rPr>
      </w:pPr>
      <w:bookmarkStart w:id="41" w:name="_Toc10166"/>
      <w:r>
        <w:rPr>
          <w:rFonts w:hint="eastAsia" w:ascii="Times New Roman" w:hAnsi="Times New Roman" w:eastAsia="楷体_GB2312"/>
          <w:kern w:val="2"/>
          <w:szCs w:val="32"/>
        </w:rPr>
        <w:t>（三）做大做特商务会展产业品牌。</w:t>
      </w:r>
      <w:r>
        <w:rPr>
          <w:rFonts w:hint="eastAsia" w:ascii="Times New Roman" w:hAnsi="Times New Roman"/>
          <w:kern w:val="2"/>
          <w:szCs w:val="32"/>
        </w:rPr>
        <w:t>充分发挥山东</w:t>
      </w:r>
      <w:r>
        <w:rPr>
          <w:rFonts w:hint="eastAsia" w:ascii="Times New Roman" w:hAnsi="Times New Roman"/>
        </w:rPr>
        <w:t>国际会展</w:t>
      </w:r>
      <w:r>
        <w:rPr>
          <w:rFonts w:hint="eastAsia" w:ascii="Times New Roman" w:hAnsi="Times New Roman"/>
          <w:kern w:val="2"/>
          <w:szCs w:val="32"/>
        </w:rPr>
        <w:t>中心现代化专业场馆优势，</w:t>
      </w:r>
      <w:bookmarkStart w:id="42" w:name="OLE_LINK26"/>
      <w:r>
        <w:rPr>
          <w:rFonts w:hint="eastAsia" w:ascii="Times New Roman" w:hAnsi="Times New Roman"/>
          <w:kern w:val="2"/>
          <w:szCs w:val="32"/>
        </w:rPr>
        <w:t>加强与行业协会、经贸组织合作，强化展产融合发展，</w:t>
      </w:r>
      <w:bookmarkEnd w:id="42"/>
      <w:r>
        <w:rPr>
          <w:rFonts w:hint="eastAsia" w:ascii="Times New Roman" w:hAnsi="Times New Roman"/>
          <w:kern w:val="2"/>
          <w:szCs w:val="32"/>
        </w:rPr>
        <w:t>在医养健康、集成电路、工业母机、生命科学等领域引进和培育一批具有国际国内高知名度和行业影响力的会展项目、重点企业，增强槐荫在黄河流域、京沪沿线、济青都市圈会展行业辐射带动能力，打造一流会展之城。建立会展企业孵化</w:t>
      </w:r>
      <w:r>
        <w:rPr>
          <w:rFonts w:hint="eastAsia" w:ascii="Times New Roman" w:hAnsi="Times New Roman"/>
        </w:rPr>
        <w:t>机制，积极吸引国内外知名会展企业、品牌服务机构和国际展览联盟等来槐荫设立分支机构、代理机构或合作机构。组织我区企业境外办展参展，支持企业开拓多元化国际市场。推进智慧化升级，鼓励展会运用人工智能、虚拟现实、物联网等新技术，创新展会形态，提升展会服务水平和运营效率。</w:t>
      </w:r>
    </w:p>
    <w:p w14:paraId="1A266297">
      <w:pPr>
        <w:pStyle w:val="3"/>
        <w:ind w:firstLine="640"/>
        <w:rPr>
          <w:rFonts w:ascii="Times New Roman" w:hAnsi="Times New Roman" w:eastAsia="黑体" w:cs="Times New Roman"/>
          <w:bCs/>
          <w:kern w:val="2"/>
          <w:szCs w:val="32"/>
        </w:rPr>
      </w:pPr>
      <w:bookmarkStart w:id="43" w:name="_Toc30543"/>
      <w:r>
        <w:rPr>
          <w:rFonts w:hint="eastAsia" w:ascii="Times New Roman" w:hAnsi="Times New Roman" w:eastAsia="黑体" w:cs="Times New Roman"/>
          <w:bCs/>
          <w:kern w:val="2"/>
          <w:szCs w:val="32"/>
        </w:rPr>
        <w:t>三、抢滩布局未来产业</w:t>
      </w:r>
      <w:bookmarkEnd w:id="43"/>
    </w:p>
    <w:p w14:paraId="4DA0F513">
      <w:pPr>
        <w:ind w:firstLine="640"/>
        <w:rPr>
          <w:rFonts w:ascii="Times New Roman" w:hAnsi="Times New Roman"/>
        </w:rPr>
      </w:pPr>
      <w:r>
        <w:rPr>
          <w:rFonts w:hint="eastAsia" w:ascii="Times New Roman" w:hAnsi="Times New Roman" w:eastAsia="楷体_GB2312" w:cs="Times New Roman"/>
          <w:bCs/>
          <w:kern w:val="2"/>
          <w:szCs w:val="32"/>
        </w:rPr>
        <w:t>（一）</w:t>
      </w:r>
      <w:bookmarkStart w:id="44" w:name="OLE_LINK15"/>
      <w:r>
        <w:rPr>
          <w:rFonts w:hint="eastAsia" w:ascii="Times New Roman" w:hAnsi="Times New Roman" w:eastAsia="楷体_GB2312" w:cs="Times New Roman"/>
          <w:bCs/>
          <w:kern w:val="2"/>
          <w:szCs w:val="32"/>
        </w:rPr>
        <w:t>加快发展人工智能产业。</w:t>
      </w:r>
      <w:bookmarkEnd w:id="44"/>
      <w:bookmarkStart w:id="45" w:name="OLE_LINK14"/>
      <w:r>
        <w:rPr>
          <w:rFonts w:hint="eastAsia" w:ascii="Times New Roman" w:hAnsi="Times New Roman"/>
        </w:rPr>
        <w:t>把握人工智能前沿发展态势，深耕下一代感知认知、决策智能、生成式人工智能等细分领域，打造人工智能产业楼宇，推动“楼宇园区+算力设施+科研机构+公共服务”一体化布局，吸引人工智能产业链上下游企业集聚发展。</w:t>
      </w:r>
      <w:r>
        <w:rPr>
          <w:rFonts w:hint="eastAsia" w:hAnsi="仿宋" w:cstheme="minorBidi"/>
          <w:color w:val="000000" w:themeColor="text1"/>
          <w:kern w:val="2"/>
          <w14:textFill>
            <w14:solidFill>
              <w14:schemeClr w14:val="tx1"/>
            </w14:solidFill>
          </w14:textFill>
        </w:rPr>
        <w:t>加快人工智能与低空经济、增材制造、脑机接口等技术融合和产品创新，探索智能产品新形态。</w:t>
      </w:r>
      <w:r>
        <w:rPr>
          <w:rFonts w:hint="eastAsia" w:ascii="Times New Roman" w:hAnsi="Times New Roman"/>
        </w:rPr>
        <w:t>以赋能“研产供销服管”全流程为目标，打造一批智能制造示范工厂、智能制造典型场景，推动制造业智能化水平跃升。以</w:t>
      </w:r>
      <w:r>
        <w:rPr>
          <w:rFonts w:hint="eastAsia" w:ascii="Times New Roman" w:hAnsi="Times New Roman" w:cs="Times New Roman"/>
          <w:szCs w:val="32"/>
        </w:rPr>
        <w:t>济南国际医学中心大学科技园为载体，加快引进智能算法、AI研发等领域先进技术企业，打造人工智能创新孵化基地。发挥我区高端医疗机构集聚优势，推动医学人工智能产业发展，加快打造人工智能示范医院，加快AI医疗等应用场景在济南国际医学中心落地。</w:t>
      </w:r>
    </w:p>
    <w:bookmarkEnd w:id="45"/>
    <w:p w14:paraId="32E6B8EA">
      <w:pPr>
        <w:ind w:firstLine="640"/>
        <w:rPr>
          <w:rFonts w:ascii="Times New Roman" w:hAnsi="Times New Roman"/>
        </w:rPr>
      </w:pPr>
      <w:r>
        <w:rPr>
          <w:rFonts w:hint="eastAsia" w:ascii="Times New Roman" w:hAnsi="Times New Roman" w:eastAsia="楷体_GB2312"/>
        </w:rPr>
        <w:t>（二）</w:t>
      </w:r>
      <w:bookmarkStart w:id="46" w:name="OLE_LINK16"/>
      <w:r>
        <w:rPr>
          <w:rFonts w:hint="eastAsia" w:ascii="Times New Roman" w:hAnsi="Times New Roman" w:eastAsia="楷体_GB2312"/>
        </w:rPr>
        <w:t>培育发展生命科学产业。</w:t>
      </w:r>
      <w:r>
        <w:rPr>
          <w:rFonts w:hint="eastAsia" w:ascii="Times New Roman" w:hAnsi="Times New Roman"/>
        </w:rPr>
        <w:t>紧盯世界医学前沿领域，发挥济南国际医学中心医教研产业态丰富、机制创新、融合发展优势，培育招引基因技术、细胞治疗、合成生物、脑科学与类脑研究等领域企业项目，完善“实验室—工程化—产业化”关键环节，建设一批推动创新成果转化的加速器，打造具有全国影响力的生命科学科技成果转化基地。发挥脑科学与类脑研究优势特色，开展脑图谱、脑认知、类脑计算、脑机融合以及脑重大疾病等机制机理研究，加大脑机接口产业链上下游关键材料、核心设备器件和外围设备等企业招引，打造脑机接口创新发展集聚区。建设细胞与基因治疗（CGT）药物转化基地，布局省级区域细胞制备中心，开展细胞治疗、基因治疗、外泌体等生物新技术的研究与应用，推动细胞与基因治疗产业化发展。依托国家健康医疗大数据中心（北方）优势，推动可信数据空间、高质量数据集以及数据流通交易平台等一批数据流通交易基础设施构建，加快数据要素市场化、价值化。</w:t>
      </w:r>
      <w:bookmarkEnd w:id="46"/>
    </w:p>
    <w:p w14:paraId="5850A8C5">
      <w:pPr>
        <w:ind w:firstLine="640"/>
        <w:rPr>
          <w:rFonts w:ascii="Times New Roman" w:hAnsi="Times New Roman" w:eastAsia="楷体_GB2312"/>
        </w:rPr>
      </w:pPr>
      <w:r>
        <w:rPr>
          <w:rFonts w:hint="eastAsia" w:ascii="Times New Roman" w:hAnsi="Times New Roman" w:eastAsia="楷体_GB2312"/>
        </w:rPr>
        <w:t>（三）积极有序发展低空经济。</w:t>
      </w:r>
      <w:bookmarkStart w:id="47" w:name="OLE_LINK22"/>
      <w:r>
        <w:rPr>
          <w:rFonts w:hint="eastAsia" w:ascii="Times New Roman" w:hAnsi="Times New Roman"/>
        </w:rPr>
        <w:t>围绕低空科技创新、基础设施、制造、飞行活动、运营保障服务等领域强创新、延链条，招引集聚研发制造、多场景测试应用、培训服务等领域项目及企业，拓展文旅、农业、医疗等多元应用场景，发展“低空+文旅消费”等“低空+”类新模式、新业态，打造中心城区低空经济发展基地</w:t>
      </w:r>
      <w:r>
        <w:rPr>
          <w:rFonts w:hint="eastAsia" w:ascii="Times New Roman" w:hAnsi="Times New Roman"/>
        </w:rPr>
        <w:t>。推动区域医疗低空应急配送体系建设，适时启动区内起降点及保障设施规划建设，建立适航检验检测中心、飞行培训中心等平台，加强低空飞行服务保障。</w:t>
      </w:r>
    </w:p>
    <w:bookmarkEnd w:id="41"/>
    <w:bookmarkEnd w:id="47"/>
    <w:p w14:paraId="29677D83">
      <w:pPr>
        <w:pStyle w:val="3"/>
        <w:ind w:firstLine="640"/>
        <w:rPr>
          <w:rFonts w:ascii="Times New Roman" w:hAnsi="Times New Roman" w:eastAsia="黑体" w:cs="Times New Roman"/>
          <w:bCs/>
          <w:kern w:val="2"/>
          <w:szCs w:val="32"/>
        </w:rPr>
      </w:pPr>
      <w:bookmarkStart w:id="48" w:name="_Toc9539"/>
      <w:r>
        <w:rPr>
          <w:rFonts w:hint="eastAsia" w:ascii="Times New Roman" w:hAnsi="Times New Roman" w:eastAsia="黑体" w:cs="Times New Roman"/>
          <w:bCs/>
          <w:kern w:val="2"/>
          <w:szCs w:val="32"/>
        </w:rPr>
        <w:t>四、促进服务业优质高效发展</w:t>
      </w:r>
      <w:bookmarkEnd w:id="48"/>
    </w:p>
    <w:p w14:paraId="0246CC4E">
      <w:pPr>
        <w:adjustRightInd/>
        <w:snapToGrid/>
        <w:ind w:firstLine="640"/>
        <w:rPr>
          <w:rFonts w:ascii="Times New Roman" w:hAnsi="Times New Roman"/>
          <w:kern w:val="2"/>
          <w:szCs w:val="32"/>
        </w:rPr>
      </w:pPr>
      <w:bookmarkStart w:id="49" w:name="_Hlk206254868"/>
      <w:r>
        <w:rPr>
          <w:rFonts w:hint="eastAsia" w:ascii="Times New Roman" w:hAnsi="Times New Roman" w:eastAsia="楷体_GB2312" w:cs="Times New Roman"/>
          <w:bCs/>
          <w:kern w:val="2"/>
          <w:szCs w:val="32"/>
        </w:rPr>
        <w:t>（一）大力发展生产性服务业。</w:t>
      </w:r>
      <w:r>
        <w:rPr>
          <w:rFonts w:hint="eastAsia" w:ascii="Times New Roman" w:hAnsi="Times New Roman"/>
          <w:kern w:val="2"/>
          <w:szCs w:val="32"/>
        </w:rPr>
        <w:t>实施服务业扩能提质行动，扩大服务业开放，推进生产性服务业向专业化和价值链高端延伸。</w:t>
      </w:r>
      <w:r>
        <w:rPr>
          <w:rFonts w:hint="eastAsia" w:ascii="Times New Roman" w:hAnsi="Times New Roman"/>
          <w:kern w:val="2"/>
          <w:szCs w:val="32"/>
        </w:rPr>
        <w:t>大</w:t>
      </w:r>
      <w:r>
        <w:rPr>
          <w:rFonts w:hint="eastAsia" w:ascii="Times New Roman" w:hAnsi="Times New Roman"/>
          <w:kern w:val="2"/>
          <w:szCs w:val="32"/>
          <w:highlight w:val="none"/>
        </w:rPr>
        <w:t>力发展楼宇总部经济，</w:t>
      </w:r>
      <w:r>
        <w:rPr>
          <w:rFonts w:hint="eastAsia" w:ascii="Times New Roman" w:hAnsi="Times New Roman"/>
          <w:kern w:val="2"/>
          <w:szCs w:val="32"/>
        </w:rPr>
        <w:t>加快信息服务、现代物流、现代金融、专业服务、科技服务、检验检测、节能环保等生产性服务业发展，积极引育一批总部、平台、领军企业，打造一批生产性服务业专业特色楼宇，争创省级生产性服务业集聚区，到2030年亿元楼宇达到5幢。推动制造企业由产品生产向“制造＋服务”转型，引导企业开展工业设计服务、定制化服务、供应链管理、检验检测认证服务、全生命周期管理、总集成总承包、绿色制造服务、生产性金融服务等方向，提供特色化、专业化、高效化的增值服务。加强检验检测中心、质量认证中心、概念验证中心、中试基地等共性技术平台建设，提升生产性服务业创新能力、服务能力。鼓励引导研发设计企业与制造企业嵌入式合作，引导智能家电等企业提升工业设计能力，拓展清洁电器、厨房电器、医疗保健领域产品种类，从单品智能向“家生态”全屋智能化转型，打造“品质生活方案商”的</w:t>
      </w:r>
      <w:r>
        <w:rPr>
          <w:rFonts w:hint="eastAsia" w:ascii="Times New Roman" w:hAnsi="Times New Roman" w:cs="Times New Roman"/>
          <w:lang w:bidi="ar"/>
        </w:rPr>
        <w:t>家居产品矩阵</w:t>
      </w:r>
      <w:r>
        <w:rPr>
          <w:rFonts w:hint="eastAsia" w:ascii="Times New Roman" w:hAnsi="Times New Roman"/>
          <w:kern w:val="2"/>
          <w:szCs w:val="32"/>
        </w:rPr>
        <w:t>，促进工业旅游发展。</w:t>
      </w:r>
    </w:p>
    <w:bookmarkEnd w:id="49"/>
    <w:p w14:paraId="71188B46">
      <w:pPr>
        <w:ind w:firstLine="640"/>
        <w:rPr>
          <w:rFonts w:ascii="Times New Roman" w:hAnsi="Times New Roman" w:cs="Times New Roman"/>
          <w:kern w:val="2"/>
          <w:szCs w:val="32"/>
          <w14:ligatures w14:val="standardContextual"/>
        </w:rPr>
      </w:pPr>
      <w:bookmarkStart w:id="50" w:name="_Toc3883"/>
      <w:r>
        <w:rPr>
          <w:rFonts w:hint="eastAsia" w:ascii="Times New Roman" w:hAnsi="Times New Roman" w:eastAsia="楷体_GB2312" w:cs="Times New Roman"/>
          <w:bCs/>
          <w:kern w:val="2"/>
          <w:szCs w:val="32"/>
        </w:rPr>
        <w:t>（二）</w:t>
      </w:r>
      <w:bookmarkStart w:id="51" w:name="OLE_LINK18"/>
      <w:r>
        <w:rPr>
          <w:rFonts w:hint="eastAsia" w:ascii="Times New Roman" w:hAnsi="Times New Roman" w:eastAsia="楷体_GB2312" w:cs="Times New Roman"/>
          <w:bCs/>
          <w:kern w:val="2"/>
          <w:szCs w:val="32"/>
        </w:rPr>
        <w:t>提质发展生活性服务业</w:t>
      </w:r>
      <w:bookmarkEnd w:id="51"/>
      <w:r>
        <w:rPr>
          <w:rFonts w:hint="eastAsia" w:ascii="Times New Roman" w:hAnsi="Times New Roman" w:eastAsia="楷体_GB2312" w:cs="Times New Roman"/>
          <w:bCs/>
          <w:kern w:val="2"/>
          <w:szCs w:val="32"/>
        </w:rPr>
        <w:t>。</w:t>
      </w:r>
      <w:r>
        <w:rPr>
          <w:rFonts w:hint="eastAsia" w:ascii="Times New Roman" w:hAnsi="Times New Roman" w:cs="Times New Roman"/>
          <w:kern w:val="2"/>
          <w:szCs w:val="32"/>
          <w14:ligatures w14:val="standardContextual"/>
        </w:rPr>
        <w:t>聚焦服务质效升级、品牌价值打造，</w:t>
      </w:r>
      <w:r>
        <w:rPr>
          <w:rFonts w:hint="eastAsia" w:ascii="Times New Roman" w:hAnsi="Times New Roman"/>
          <w:kern w:val="2"/>
          <w:szCs w:val="32"/>
        </w:rPr>
        <w:t>促进生活性服务业高品质、多样化、便利化发展</w:t>
      </w:r>
      <w:r>
        <w:rPr>
          <w:rFonts w:hint="eastAsia" w:ascii="Times New Roman" w:hAnsi="Times New Roman" w:cs="Times New Roman"/>
          <w:kern w:val="2"/>
          <w:szCs w:val="32"/>
          <w14:ligatures w14:val="standardContextual"/>
        </w:rPr>
        <w:t>，推动商超、餐饮、住宿等传统业态开展线上线下融合经营，发展智能配送、无人零售等新业态，扩大居民服务、教育服务、现代商贸、健康养老、托幼、家政等多元化服务供给。支持物业、家政服务企业拓展养老服务领域市场，建成一批“物业+养老”“家政+养老”示范企业。推动新一代信息技术与生活服务深度融合，发展体验式消费、个性需求定制服务等新业态，积极拓展数字健康、数字场馆、虚拟景区、虚拟养老院等新型服务应用。鼓励企业通过连锁经营、加盟合作等模式扩大规模，提升服务标准化、规范化水平。推进实施品牌战略，培育一批具有全国影响力的服务品牌和知名企业。</w:t>
      </w:r>
    </w:p>
    <w:p w14:paraId="55A3EC73">
      <w:pPr>
        <w:pStyle w:val="3"/>
        <w:ind w:firstLine="640"/>
        <w:rPr>
          <w:rFonts w:ascii="Times New Roman" w:hAnsi="Times New Roman" w:eastAsia="黑体"/>
        </w:rPr>
      </w:pPr>
      <w:bookmarkStart w:id="52" w:name="_Toc1084"/>
      <w:r>
        <w:rPr>
          <w:rFonts w:hint="eastAsia" w:ascii="Times New Roman" w:hAnsi="Times New Roman" w:eastAsia="黑体"/>
        </w:rPr>
        <w:t>五、持续优化产业生态</w:t>
      </w:r>
      <w:bookmarkEnd w:id="50"/>
      <w:bookmarkEnd w:id="52"/>
    </w:p>
    <w:p w14:paraId="0CB2D777">
      <w:pPr>
        <w:adjustRightInd/>
        <w:snapToGrid/>
        <w:ind w:firstLine="640"/>
        <w:rPr>
          <w:rFonts w:ascii="Times New Roman" w:hAnsi="Times New Roman"/>
          <w:kern w:val="2"/>
          <w:szCs w:val="32"/>
        </w:rPr>
      </w:pPr>
      <w:r>
        <w:rPr>
          <w:rFonts w:hint="eastAsia" w:ascii="Times New Roman" w:hAnsi="Times New Roman" w:eastAsia="楷体_GB2312"/>
          <w:kern w:val="2"/>
          <w:szCs w:val="32"/>
        </w:rPr>
        <w:t>（一）</w:t>
      </w:r>
      <w:r>
        <w:rPr>
          <w:rFonts w:hint="eastAsia" w:ascii="Times New Roman" w:hAnsi="Times New Roman" w:eastAsia="楷体_GB2312" w:cs="楷体_GB2312"/>
          <w:kern w:val="2"/>
          <w:szCs w:val="32"/>
        </w:rPr>
        <w:t>优化产业发展政策。</w:t>
      </w:r>
      <w:r>
        <w:rPr>
          <w:rFonts w:hint="eastAsia" w:ascii="Times New Roman" w:hAnsi="Times New Roman"/>
          <w:kern w:val="2"/>
          <w:szCs w:val="32"/>
        </w:rPr>
        <w:t>积极争取国家专属支持政策，支持有条件的医疗机构依法依规开展干细胞等临床研究，支持经批准开展人类辅助生殖技术的医疗机构开展相应技术服务。探索低效用地再开发新模式，强化土地要素保障。积极做好国家“两重”“两新”政策研究，积极争取中央预算内资金、地方政府专项债、超长期特别国债对智能制造、低空经济等产业项目的支持，鼓励各类金融机构创新金融产品和服务，加大信贷、资金供给力度。</w:t>
      </w:r>
    </w:p>
    <w:p w14:paraId="4400A1FC">
      <w:pPr>
        <w:adjustRightInd/>
        <w:snapToGrid/>
        <w:ind w:firstLine="640"/>
        <w:rPr>
          <w:rFonts w:ascii="Times New Roman" w:hAnsi="Times New Roman"/>
          <w:kern w:val="2"/>
          <w:szCs w:val="32"/>
        </w:rPr>
      </w:pPr>
      <w:r>
        <w:rPr>
          <w:rFonts w:hint="eastAsia" w:ascii="Times New Roman" w:hAnsi="Times New Roman" w:eastAsia="楷体_GB2312"/>
          <w:kern w:val="2"/>
          <w:szCs w:val="32"/>
        </w:rPr>
        <w:t>（二）打造高能级园区平台。</w:t>
      </w:r>
      <w:r>
        <w:rPr>
          <w:rFonts w:hint="eastAsia" w:ascii="Times New Roman" w:hAnsi="Times New Roman"/>
          <w:kern w:val="2"/>
          <w:szCs w:val="32"/>
        </w:rPr>
        <w:t>加强特色更加鲜明、要素更加完备、产业更加集聚的专业园区规划建设，打造集生产制造、研发孵化、综合服务配套、设计创新、总部商务等于一体的全要素产业载体。推进先进材料智造港、宽禁带生产设备制造产业园、人工智能创新应用产业园等重点专业园区规划建设，完善济南槐荫经济开发区基础配套建设，增强园区承载力和吸引力。</w:t>
      </w:r>
    </w:p>
    <w:p w14:paraId="67530B66">
      <w:pPr>
        <w:adjustRightInd/>
        <w:snapToGrid/>
        <w:ind w:firstLine="640"/>
        <w:rPr>
          <w:rFonts w:ascii="Times New Roman" w:hAnsi="Times New Roman" w:eastAsia="楷体_GB2312" w:cs="楷体_GB2312"/>
          <w:kern w:val="2"/>
          <w:szCs w:val="32"/>
        </w:rPr>
      </w:pPr>
      <w:r>
        <w:rPr>
          <w:rFonts w:hint="eastAsia" w:ascii="Times New Roman" w:hAnsi="Times New Roman" w:eastAsia="楷体_GB2312" w:cs="楷体_GB2312"/>
          <w:kern w:val="2"/>
          <w:szCs w:val="32"/>
        </w:rPr>
        <w:t>（三）</w:t>
      </w:r>
      <w:r>
        <w:rPr>
          <w:rFonts w:hint="eastAsia" w:ascii="Times New Roman" w:hAnsi="Times New Roman" w:eastAsia="楷体_GB2312"/>
          <w:kern w:val="2"/>
          <w:szCs w:val="32"/>
        </w:rPr>
        <w:t>推动招商引资拓面提质。</w:t>
      </w:r>
      <w:r>
        <w:rPr>
          <w:rFonts w:hint="eastAsia" w:ascii="Times New Roman" w:hAnsi="Times New Roman"/>
          <w:kern w:val="2"/>
          <w:szCs w:val="32"/>
        </w:rPr>
        <w:t>聚焦“433”现代化产业体系，进一步做强“侨梦苑”等平台，推动高端海外人才集聚、“以侨引侨”，用好用活商协会、校友会等第三方招商资源，全面深化产业链招商、以商招商、资本招商、场景招商等模式。聚焦京津冀、长三角、珠三角等重点区域，积极承接产业转移，着力招引一批行业龙头企业和建链补链强链项目，带动引进一批前沿技术、高端人才和优秀团队。加强招商队伍建设，进一步激发招商队伍活力，扩充“双招双引大使”“双招双引合伙人”队伍力量。优化升级“投资槐荫”线上平台，完善“槐荫招商云名片”系统，强化全区载体资源等信息精准匹配。</w:t>
      </w:r>
    </w:p>
    <w:p w14:paraId="14F2666A">
      <w:pPr>
        <w:ind w:firstLine="704"/>
        <w:rPr>
          <w:rFonts w:ascii="Times New Roman" w:hAnsi="Times New Roman" w:eastAsia="方正小标宋简体" w:cs="Times New Roman"/>
          <w:bCs/>
          <w:spacing w:val="-4"/>
          <w:kern w:val="2"/>
          <w:sz w:val="36"/>
          <w:szCs w:val="36"/>
        </w:rPr>
      </w:pPr>
      <w:bookmarkStart w:id="53" w:name="_Toc3006"/>
      <w:r>
        <w:rPr>
          <w:rFonts w:hint="eastAsia" w:ascii="Times New Roman" w:hAnsi="Times New Roman" w:eastAsia="楷体_GB2312"/>
          <w:kern w:val="2"/>
          <w:szCs w:val="32"/>
        </w:rPr>
        <w:t>（四）构建分类企业梯度培育体系。</w:t>
      </w:r>
      <w:r>
        <w:rPr>
          <w:rFonts w:hint="eastAsia" w:ascii="Times New Roman" w:hAnsi="Times New Roman"/>
          <w:kern w:val="2"/>
          <w:szCs w:val="32"/>
        </w:rPr>
        <w:t>完善政策、市场、融资、技术等全周期保障，推动企业“小升规、规长大、大上市、市做强”，培育更多产业链领航企业、制造业单项冠军、专精特新“小巨人”企业、“独角兽”企业。实施“质量强区”战略，深入开展质量提升行动，落实企业首席质量官制度，鼓励企业参与国际标准、国家标准、行业标准的制定修订。完善品牌培育发展机制，引导企业争创中国质量奖、山东省省长质量奖及“好品山东”“泉城好品”等，增强品牌竞争力、知名度。</w:t>
      </w:r>
    </w:p>
    <w:p w14:paraId="0F4E4ED7">
      <w:pPr>
        <w:ind w:firstLine="0" w:firstLineChars="0"/>
        <w:jc w:val="center"/>
        <w:outlineLvl w:val="9"/>
        <w:rPr>
          <w:rFonts w:hint="eastAsia" w:ascii="Times New Roman" w:hAnsi="Times New Roman" w:eastAsia="方正小标宋简体" w:cs="Times New Roman"/>
          <w:bCs/>
          <w:spacing w:val="-4"/>
          <w:kern w:val="2"/>
          <w:sz w:val="36"/>
          <w:szCs w:val="36"/>
        </w:rPr>
      </w:pPr>
      <w:bookmarkStart w:id="54" w:name="_Toc31942"/>
    </w:p>
    <w:p w14:paraId="2107D9BC">
      <w:pPr>
        <w:ind w:firstLine="0" w:firstLineChars="0"/>
        <w:jc w:val="center"/>
        <w:outlineLvl w:val="9"/>
        <w:rPr>
          <w:rFonts w:hint="eastAsia" w:ascii="Times New Roman" w:hAnsi="Times New Roman" w:eastAsia="方正小标宋简体" w:cs="Times New Roman"/>
          <w:bCs/>
          <w:spacing w:val="-4"/>
          <w:kern w:val="2"/>
          <w:sz w:val="36"/>
          <w:szCs w:val="36"/>
        </w:rPr>
      </w:pPr>
    </w:p>
    <w:p w14:paraId="673C4008">
      <w:pPr>
        <w:ind w:firstLine="0" w:firstLineChars="0"/>
        <w:jc w:val="center"/>
        <w:outlineLvl w:val="9"/>
        <w:rPr>
          <w:rFonts w:hint="eastAsia" w:ascii="Times New Roman" w:hAnsi="Times New Roman" w:eastAsia="方正小标宋简体" w:cs="Times New Roman"/>
          <w:bCs/>
          <w:spacing w:val="-4"/>
          <w:kern w:val="2"/>
          <w:sz w:val="36"/>
          <w:szCs w:val="36"/>
        </w:rPr>
      </w:pPr>
    </w:p>
    <w:p w14:paraId="16FC7237">
      <w:pPr>
        <w:ind w:firstLine="0" w:firstLineChars="0"/>
        <w:jc w:val="center"/>
        <w:outlineLvl w:val="9"/>
        <w:rPr>
          <w:rFonts w:hint="eastAsia" w:ascii="Times New Roman" w:hAnsi="Times New Roman" w:eastAsia="方正小标宋简体" w:cs="Times New Roman"/>
          <w:bCs/>
          <w:spacing w:val="-4"/>
          <w:kern w:val="2"/>
          <w:sz w:val="36"/>
          <w:szCs w:val="36"/>
        </w:rPr>
      </w:pPr>
    </w:p>
    <w:p w14:paraId="122FE3FC">
      <w:pPr>
        <w:ind w:firstLine="0" w:firstLineChars="0"/>
        <w:jc w:val="center"/>
        <w:outlineLvl w:val="9"/>
        <w:rPr>
          <w:rFonts w:hint="eastAsia" w:ascii="Times New Roman" w:hAnsi="Times New Roman" w:eastAsia="方正小标宋简体" w:cs="Times New Roman"/>
          <w:bCs/>
          <w:spacing w:val="-4"/>
          <w:kern w:val="2"/>
          <w:sz w:val="36"/>
          <w:szCs w:val="36"/>
        </w:rPr>
      </w:pPr>
    </w:p>
    <w:p w14:paraId="324FB8AA">
      <w:pPr>
        <w:pStyle w:val="2"/>
        <w:ind w:firstLine="0" w:firstLineChars="0"/>
        <w:jc w:val="center"/>
        <w:rPr>
          <w:rFonts w:ascii="Times New Roman" w:hAnsi="Times New Roman"/>
        </w:rPr>
      </w:pPr>
      <w:r>
        <w:rPr>
          <w:rFonts w:hint="eastAsia" w:ascii="Times New Roman" w:hAnsi="Times New Roman" w:eastAsia="方正小标宋简体" w:cs="Times New Roman"/>
          <w:bCs/>
          <w:spacing w:val="-4"/>
          <w:kern w:val="2"/>
          <w:sz w:val="36"/>
          <w:szCs w:val="36"/>
        </w:rPr>
        <w:t xml:space="preserve">第三章 </w:t>
      </w:r>
      <w:bookmarkEnd w:id="53"/>
      <w:r>
        <w:rPr>
          <w:rFonts w:hint="eastAsia" w:ascii="Times New Roman" w:hAnsi="Times New Roman" w:eastAsia="方正小标宋简体" w:cs="Times New Roman"/>
          <w:bCs/>
          <w:spacing w:val="-4"/>
          <w:kern w:val="2"/>
          <w:sz w:val="36"/>
          <w:szCs w:val="36"/>
        </w:rPr>
        <w:t>建设科技创新强区</w:t>
      </w:r>
      <w:r>
        <w:rPr>
          <w:rFonts w:hint="eastAsia" w:ascii="Times New Roman" w:hAnsi="Times New Roman" w:eastAsia="方正小标宋简体" w:cs="Times New Roman"/>
          <w:bCs/>
          <w:spacing w:val="-4"/>
          <w:kern w:val="2"/>
          <w:sz w:val="36"/>
          <w:szCs w:val="36"/>
        </w:rPr>
        <w:t>，引领发展新质生产力</w:t>
      </w:r>
      <w:bookmarkEnd w:id="54"/>
    </w:p>
    <w:p w14:paraId="376C2887">
      <w:pPr>
        <w:ind w:firstLine="640"/>
        <w:rPr>
          <w:rFonts w:ascii="Times New Roman" w:hAnsi="Times New Roman"/>
        </w:rPr>
      </w:pPr>
    </w:p>
    <w:p w14:paraId="4B5B838E">
      <w:pPr>
        <w:ind w:firstLine="640"/>
        <w:rPr>
          <w:rFonts w:ascii="Times New Roman" w:hAnsi="Times New Roman"/>
        </w:rPr>
      </w:pPr>
      <w:r>
        <w:rPr>
          <w:rFonts w:hint="eastAsia" w:ascii="Times New Roman" w:hAnsi="Times New Roman"/>
        </w:rPr>
        <w:t>坚持把创新作为引领发展的第一动力，大力推进科技强区、人才兴区，一体推进教育科技人才发展，推动产业链与创新链深度融合，激活企业创新主体地位，推动科技成果高效转化，优化人才创新生态，推进数智槐荫建设，争当区域性科技创新高地建设排头兵。</w:t>
      </w:r>
      <w:bookmarkStart w:id="55" w:name="_Toc320"/>
    </w:p>
    <w:bookmarkEnd w:id="55"/>
    <w:p w14:paraId="10D2C77D">
      <w:pPr>
        <w:ind w:firstLine="640"/>
        <w:outlineLvl w:val="1"/>
        <w:rPr>
          <w:rFonts w:ascii="Times New Roman" w:hAnsi="Times New Roman" w:eastAsia="黑体"/>
        </w:rPr>
      </w:pPr>
      <w:bookmarkStart w:id="56" w:name="_Toc8949"/>
      <w:r>
        <w:rPr>
          <w:rFonts w:hint="eastAsia" w:ascii="Times New Roman" w:hAnsi="Times New Roman" w:eastAsia="黑体"/>
        </w:rPr>
        <w:t>一、推动科技创新和产业创新深度融合</w:t>
      </w:r>
      <w:bookmarkEnd w:id="56"/>
    </w:p>
    <w:p w14:paraId="013BC547">
      <w:pPr>
        <w:ind w:firstLine="640"/>
        <w:rPr>
          <w:rFonts w:ascii="Times New Roman" w:hAnsi="Times New Roman"/>
        </w:rPr>
      </w:pPr>
      <w:r>
        <w:rPr>
          <w:rFonts w:hint="eastAsia" w:ascii="Times New Roman" w:hAnsi="Times New Roman" w:eastAsia="楷体_GB2312"/>
          <w:kern w:val="2"/>
          <w:szCs w:val="32"/>
        </w:rPr>
        <w:t>（一）建设优势产业源头创新平台。</w:t>
      </w:r>
      <w:r>
        <w:rPr>
          <w:rFonts w:hint="eastAsia" w:ascii="Times New Roman" w:hAnsi="Times New Roman"/>
        </w:rPr>
        <w:t>依托济南国际医学中心、济南槐荫经济开发区等打造科技创新策源地，充分释放国家健康医疗大数据中心（北方）、国家人类遗传资源山东创新中心等国家级创新平台能量活力和辐射带动力，加快微生态生物医学省实验室等高能级平台建设，加强基因编辑、细胞基因治疗、脑机接口、合成生物、零磁医学和人体功能信息成像、智能装备精密制造等前沿技术领域技术攻关</w:t>
      </w:r>
      <w:r>
        <w:rPr>
          <w:rFonts w:hint="eastAsia" w:ascii="Times New Roman" w:hAnsi="Times New Roman"/>
          <w:lang w:eastAsia="zh-CN"/>
        </w:rPr>
        <w:t>。</w:t>
      </w:r>
      <w:r>
        <w:rPr>
          <w:rFonts w:hint="eastAsia" w:ascii="Times New Roman" w:hAnsi="Times New Roman"/>
        </w:rPr>
        <w:t>推动济南国际医学中心大学科技园扩容提质，高标准建设一批国家和省市级产业创新中心、制造业创新中心、技术创新中心，大力推进孵化器建设，持续优化创新创业生态。</w:t>
      </w:r>
    </w:p>
    <w:p w14:paraId="6D0BF77A">
      <w:pPr>
        <w:adjustRightInd/>
        <w:snapToGrid/>
        <w:ind w:firstLine="640"/>
        <w:rPr>
          <w:rFonts w:ascii="Times New Roman" w:hAnsi="Times New Roman"/>
        </w:rPr>
      </w:pPr>
      <w:r>
        <w:rPr>
          <w:rFonts w:hint="eastAsia" w:ascii="Times New Roman" w:hAnsi="Times New Roman" w:eastAsia="楷体_GB2312"/>
          <w:kern w:val="2"/>
          <w:szCs w:val="32"/>
        </w:rPr>
        <w:t>（二）强化企业科技创新主体地位</w:t>
      </w:r>
      <w:r>
        <w:rPr>
          <w:rFonts w:hint="eastAsia" w:ascii="Times New Roman" w:hAnsi="Times New Roman"/>
        </w:rPr>
        <w:t>。健全“科技型中小企业—高新技术企业—科技领军企业”梯次培育机制，为不同发展阶段企业提供针对性服务举措，发展壮大济南西部科创集群规模。强化“一业一策”精准培育，推动科技领军企业量质齐升。做优做强科技型行业企业，加速推进高新企业“规模化”和规上企业“高新化”。完善科技型中小企业评价管理制度，支持企业融资发展，推动科技型中小企业能力提升，到2030年科技型中小企业突破600家。</w:t>
      </w:r>
    </w:p>
    <w:p w14:paraId="7F21F67C">
      <w:pPr>
        <w:pStyle w:val="10"/>
        <w:spacing w:after="0"/>
        <w:ind w:left="0" w:leftChars="0" w:firstLine="640"/>
        <w:rPr>
          <w:rFonts w:ascii="Times New Roman" w:hAnsi="Times New Roman" w:eastAsia="仿宋_GB2312"/>
          <w:kern w:val="2"/>
          <w:sz w:val="32"/>
          <w:szCs w:val="32"/>
        </w:rPr>
      </w:pPr>
      <w:r>
        <w:rPr>
          <w:rFonts w:hint="eastAsia" w:ascii="Times New Roman" w:hAnsi="Times New Roman" w:eastAsia="楷体_GB2312"/>
          <w:kern w:val="2"/>
          <w:sz w:val="32"/>
          <w:szCs w:val="32"/>
        </w:rPr>
        <w:t>（三）推进产业关键技术攻关。</w:t>
      </w:r>
      <w:r>
        <w:rPr>
          <w:rFonts w:hint="eastAsia" w:ascii="Times New Roman" w:hAnsi="Times New Roman" w:eastAsia="仿宋_GB2312"/>
          <w:kern w:val="2"/>
          <w:sz w:val="32"/>
          <w:szCs w:val="32"/>
        </w:rPr>
        <w:t>聚焦“433”现代化产业体系，摸清摸准产业创新和企业技术需求，</w:t>
      </w:r>
      <w:r>
        <w:rPr>
          <w:rFonts w:hint="eastAsia" w:ascii="Times New Roman" w:hAnsi="Times New Roman" w:eastAsia="仿宋_GB2312"/>
          <w:sz w:val="32"/>
        </w:rPr>
        <w:t>推动创新资源向企业集聚</w:t>
      </w:r>
      <w:r>
        <w:rPr>
          <w:rFonts w:hint="eastAsia" w:ascii="Times New Roman" w:hAnsi="Times New Roman" w:eastAsia="仿宋_GB2312"/>
          <w:kern w:val="2"/>
          <w:sz w:val="32"/>
          <w:szCs w:val="32"/>
        </w:rPr>
        <w:t>。继续推行科技项目“揭榜挂帅”制，发布一批重点产业项目需求榜单，攻克制约全区产业发展的“卡脖子”技术难题。</w:t>
      </w:r>
      <w:r>
        <w:rPr>
          <w:rFonts w:hint="eastAsia" w:ascii="Times New Roman" w:hAnsi="Times New Roman" w:eastAsia="仿宋_GB2312"/>
          <w:sz w:val="32"/>
        </w:rPr>
        <w:t>支持企业加大研发投入、牵头组建创新联合体，积极承担国家和省、市重大科技攻关任务和创新项目，全链条推动集成电路、工业母机、先进材料、人工智能、生命科学等领域关键共性技术和先进工艺装备在槐荫实现新突破。</w:t>
      </w:r>
    </w:p>
    <w:p w14:paraId="54F9DF78">
      <w:pPr>
        <w:ind w:firstLine="640"/>
        <w:outlineLvl w:val="1"/>
        <w:rPr>
          <w:rFonts w:ascii="Times New Roman" w:hAnsi="Times New Roman" w:eastAsia="黑体"/>
        </w:rPr>
      </w:pPr>
      <w:bookmarkStart w:id="57" w:name="_Toc20592"/>
      <w:r>
        <w:rPr>
          <w:rFonts w:hint="eastAsia" w:ascii="Times New Roman" w:hAnsi="Times New Roman" w:eastAsia="黑体"/>
        </w:rPr>
        <w:t>二、营造一流创新发展生态</w:t>
      </w:r>
      <w:bookmarkEnd w:id="57"/>
    </w:p>
    <w:p w14:paraId="10FED224">
      <w:pPr>
        <w:adjustRightInd/>
        <w:snapToGrid/>
        <w:ind w:firstLine="640"/>
        <w:rPr>
          <w:rFonts w:ascii="Times New Roman" w:hAnsi="Times New Roman"/>
        </w:rPr>
      </w:pPr>
      <w:r>
        <w:rPr>
          <w:rFonts w:hint="eastAsia" w:ascii="Times New Roman" w:hAnsi="Times New Roman" w:eastAsia="楷体_GB2312"/>
          <w:kern w:val="2"/>
          <w:szCs w:val="32"/>
        </w:rPr>
        <w:t>（一）加快科技成果转化应用。</w:t>
      </w:r>
      <w:r>
        <w:rPr>
          <w:rFonts w:hint="eastAsia" w:ascii="Times New Roman" w:hAnsi="Times New Roman"/>
          <w:kern w:val="2"/>
          <w:szCs w:val="32"/>
        </w:rPr>
        <w:t>完善科技成果转化机制，探索推行技术入股、收益分成等，细化完善推动科技成果“先使用后付费”的支持政策</w:t>
      </w:r>
      <w:r>
        <w:rPr>
          <w:rFonts w:hint="eastAsia" w:ascii="Times New Roman" w:hAnsi="Times New Roman"/>
          <w:kern w:val="2"/>
          <w:szCs w:val="32"/>
          <w:lang w:bidi="ar"/>
        </w:rPr>
        <w:t>，组织开展市内外科技成果对接活动10次以上。</w:t>
      </w:r>
      <w:r>
        <w:rPr>
          <w:rFonts w:hint="eastAsia" w:ascii="Times New Roman" w:hAnsi="Times New Roman"/>
        </w:rPr>
        <w:t>服务提升高校科研院所、高能级创新平台成果转化、创业孵化，提供从成果评估、技术转移转化到产业化应用的全流程一站式服务，打造成为承接国内外高层次智力资源和科技成果转化的重要基地。</w:t>
      </w:r>
      <w:r>
        <w:rPr>
          <w:rFonts w:hint="eastAsia" w:ascii="Times New Roman" w:hAnsi="Times New Roman"/>
          <w:kern w:val="2"/>
          <w:szCs w:val="32"/>
          <w:lang w:bidi="ar"/>
        </w:rPr>
        <w:t>依托山东科技大市场建立高校院所“可转化成果数据库”和企业“科技成果需求库”，以强化供需对接引导科技成果转化。坚持“应用导向、实战导向”，强化技术经理人培育，打造高素质技术经理人队伍。建立重点企业上市储备库，为科技型企业上市提供全程指导服务。</w:t>
      </w:r>
    </w:p>
    <w:p w14:paraId="1AD076DD">
      <w:pPr>
        <w:ind w:firstLine="640"/>
        <w:rPr>
          <w:rFonts w:ascii="Times New Roman" w:hAnsi="Times New Roman"/>
          <w:kern w:val="2"/>
          <w:szCs w:val="32"/>
        </w:rPr>
      </w:pPr>
      <w:r>
        <w:rPr>
          <w:rFonts w:hint="eastAsia" w:ascii="Times New Roman" w:hAnsi="Times New Roman" w:eastAsia="楷体_GB2312"/>
          <w:kern w:val="2"/>
          <w:szCs w:val="32"/>
        </w:rPr>
        <w:t>（二）深化科技管理改革。</w:t>
      </w:r>
      <w:r>
        <w:rPr>
          <w:rFonts w:hint="eastAsia" w:ascii="Times New Roman" w:hAnsi="Times New Roman"/>
          <w:kern w:val="2"/>
          <w:szCs w:val="32"/>
        </w:rPr>
        <w:t>实施“技术攻关+普惠扶持”相结合的科技创新组织模式，设立产业关键技术攻关专项，组织产业链技术卡点攻关。落实高新技术企业认定、创新平台建设、研发投入奖补等普惠性政策，厚植创新创造沃土。大力弘扬科学家精神、企业家精神，营造“鼓励探索、宽容失败、创新无忧”的良好环境。鼓励社会力量举办各类创新创业活动，激发全社会创新创业热情。</w:t>
      </w:r>
    </w:p>
    <w:p w14:paraId="4A6CB036">
      <w:pPr>
        <w:adjustRightInd/>
        <w:snapToGrid/>
        <w:ind w:firstLine="640"/>
        <w:rPr>
          <w:rFonts w:ascii="Times New Roman" w:hAnsi="Times New Roman"/>
          <w:kern w:val="2"/>
          <w:szCs w:val="32"/>
          <w:lang w:bidi="ar"/>
        </w:rPr>
      </w:pPr>
      <w:r>
        <w:rPr>
          <w:rFonts w:hint="eastAsia" w:ascii="Times New Roman" w:hAnsi="Times New Roman" w:eastAsia="楷体_GB2312"/>
          <w:kern w:val="2"/>
          <w:szCs w:val="32"/>
        </w:rPr>
        <w:t>（三）加强科创企业要素供给。</w:t>
      </w:r>
      <w:r>
        <w:rPr>
          <w:rFonts w:hint="eastAsia" w:ascii="Times New Roman" w:hAnsi="Times New Roman"/>
          <w:kern w:val="2"/>
          <w:szCs w:val="32"/>
        </w:rPr>
        <w:t>发挥财政资金和投资平台撬动作用，引导天使投资、风险投资等社会资本投早、投小、投长期、投硬科技，积极吸引大胆资本、耐心资本来区投资。发挥数字金融产业园载体优势，利用“泉融通”智能平台，创新金融产品与服务，助力科技型中小企业创新发展。</w:t>
      </w:r>
      <w:r>
        <w:rPr>
          <w:rFonts w:hint="eastAsia" w:ascii="Times New Roman" w:hAnsi="Times New Roman"/>
          <w:kern w:val="2"/>
          <w:szCs w:val="32"/>
          <w:lang w:bidi="ar"/>
        </w:rPr>
        <w:t>强化知识产权转化运用和保护，推动知识产权服务机构专业化、规模化、品牌化发展，积极拓展专利价值分析、专利运营等高附加值服务。实施专利转化运用专项行动，大力推动专利产业化，激发各类主体创新活力。</w:t>
      </w:r>
    </w:p>
    <w:p w14:paraId="46B0DCBC">
      <w:pPr>
        <w:ind w:firstLine="640"/>
        <w:outlineLvl w:val="1"/>
        <w:rPr>
          <w:rFonts w:ascii="Times New Roman" w:hAnsi="Times New Roman" w:eastAsia="黑体"/>
        </w:rPr>
      </w:pPr>
      <w:bookmarkStart w:id="58" w:name="_Toc14741"/>
      <w:r>
        <w:rPr>
          <w:rFonts w:hint="eastAsia" w:ascii="Times New Roman" w:hAnsi="Times New Roman" w:eastAsia="黑体"/>
        </w:rPr>
        <w:t>三、深化教育科技人才一体发展</w:t>
      </w:r>
      <w:bookmarkEnd w:id="58"/>
    </w:p>
    <w:p w14:paraId="0A10FF54">
      <w:pPr>
        <w:adjustRightInd/>
        <w:snapToGrid/>
        <w:ind w:firstLine="640"/>
        <w:rPr>
          <w:rFonts w:ascii="Times New Roman" w:hAnsi="Times New Roman"/>
          <w:kern w:val="2"/>
          <w:szCs w:val="32"/>
        </w:rPr>
      </w:pPr>
      <w:r>
        <w:rPr>
          <w:rFonts w:hint="eastAsia" w:ascii="Times New Roman" w:hAnsi="Times New Roman" w:eastAsia="楷体_GB2312"/>
          <w:kern w:val="2"/>
          <w:szCs w:val="32"/>
        </w:rPr>
        <w:t>（一）大力引育高层次创新人才。</w:t>
      </w:r>
      <w:r>
        <w:rPr>
          <w:rFonts w:hint="eastAsia" w:ascii="Times New Roman" w:hAnsi="Times New Roman"/>
          <w:kern w:val="2"/>
          <w:szCs w:val="32"/>
        </w:rPr>
        <w:t>健全一体推进体制机制，强化规划协同、政策协同、资源配置协同，深化人才链、教育链、产业链、创新链融合发展，打造科教融合和人才集聚强区。深入实施新时代人才强区战略，积极服务融入济青人才集聚平台，推动更多载体纳入平台建设。构建多元化引才育才支持政策，持续用好“智汇槐荫”人才政策22条，实施“泉优计划”人才引进行动，聚焦“433”现代化产业体系，健全柔性引才机制，精准支持顶尖人才和团队，加快培养集聚领军人才、卓越工程师、科技型企业家、“人工智能+”等复合型人才和新业态人才。加强产教融合，培养更多能工巧匠和技能大师，壮大产业工人队伍。</w:t>
      </w:r>
    </w:p>
    <w:p w14:paraId="491FE3A0">
      <w:pPr>
        <w:adjustRightInd/>
        <w:snapToGrid/>
        <w:ind w:firstLine="640"/>
        <w:rPr>
          <w:rFonts w:ascii="Times New Roman" w:hAnsi="Times New Roman" w:eastAsia="楷体_GB2312"/>
          <w:kern w:val="2"/>
          <w:szCs w:val="32"/>
        </w:rPr>
      </w:pPr>
      <w:r>
        <w:rPr>
          <w:rFonts w:hint="eastAsia" w:ascii="Times New Roman" w:hAnsi="Times New Roman" w:eastAsia="楷体_GB2312"/>
          <w:kern w:val="2"/>
          <w:szCs w:val="32"/>
        </w:rPr>
        <w:t>（二）</w:t>
      </w:r>
      <w:bookmarkStart w:id="59" w:name="OLE_LINK9"/>
      <w:r>
        <w:rPr>
          <w:rFonts w:hint="eastAsia" w:ascii="Times New Roman" w:hAnsi="Times New Roman" w:eastAsia="楷体_GB2312"/>
          <w:kern w:val="2"/>
          <w:szCs w:val="32"/>
        </w:rPr>
        <w:t>加强校地融合。</w:t>
      </w:r>
      <w:r>
        <w:rPr>
          <w:rFonts w:hint="eastAsia" w:ascii="Times New Roman" w:hAnsi="Times New Roman"/>
          <w:kern w:val="2"/>
          <w:szCs w:val="32"/>
        </w:rPr>
        <w:t>深化与高校院所交流合作，推动人才资源在高校、企业、政府之间流通互动，加快新建共建一批校地研究中心、人才联合培养基地。深化青年发展型城区建设，实施青年人才集聚计划，组织开展名校行引才活动，强化青年人才驿站建设，完善高层次人才精准服务体系，着力培养优秀新生代企业家队伍，壮大领跑未来的中坚力量。</w:t>
      </w:r>
    </w:p>
    <w:p w14:paraId="676C4E1C">
      <w:pPr>
        <w:adjustRightInd/>
        <w:snapToGrid/>
        <w:ind w:firstLine="640"/>
        <w:rPr>
          <w:rFonts w:ascii="Times New Roman" w:hAnsi="Times New Roman"/>
          <w:kern w:val="2"/>
          <w:szCs w:val="32"/>
        </w:rPr>
      </w:pPr>
      <w:r>
        <w:rPr>
          <w:rFonts w:hint="eastAsia" w:ascii="Times New Roman" w:hAnsi="Times New Roman" w:eastAsia="楷体_GB2312"/>
          <w:kern w:val="2"/>
          <w:szCs w:val="32"/>
        </w:rPr>
        <w:t>（三）打造良好人才发展环境</w:t>
      </w:r>
      <w:bookmarkEnd w:id="59"/>
      <w:r>
        <w:rPr>
          <w:rFonts w:hint="eastAsia" w:ascii="Times New Roman" w:hAnsi="Times New Roman" w:eastAsia="楷体_GB2312"/>
          <w:kern w:val="2"/>
          <w:szCs w:val="32"/>
        </w:rPr>
        <w:t>。</w:t>
      </w:r>
      <w:r>
        <w:rPr>
          <w:rFonts w:hint="eastAsia" w:ascii="Times New Roman" w:hAnsi="Times New Roman"/>
          <w:kern w:val="2"/>
          <w:szCs w:val="32"/>
        </w:rPr>
        <w:t>深化项目评审、机构评估、人才评价、收入分配改革，畅通科研院所、高校、企业人才交流通道。建立“企业评价＋政府奖励”的人才激励机制。健全人才供需对接机制，建立行业企业人才需求清单，精准对接推送人才需求信息。培育一批技术转移机构和科技经纪人，为技术转移提供技术筛选、交易对接、专利评估等专业服务，构建以质量、绩效、贡献为导向的科技成果评价机制。推行更加便利的服务措施，对符合条件的高端人才在住房、子女教育、医疗保障等方面给予重点支持。</w:t>
      </w:r>
    </w:p>
    <w:p w14:paraId="40FD71F9">
      <w:pPr>
        <w:ind w:firstLine="640"/>
        <w:outlineLvl w:val="1"/>
        <w:rPr>
          <w:rFonts w:ascii="Times New Roman" w:hAnsi="Times New Roman" w:eastAsia="黑体" w:cs="黑体"/>
        </w:rPr>
      </w:pPr>
      <w:bookmarkStart w:id="60" w:name="_Toc29781"/>
      <w:r>
        <w:rPr>
          <w:rFonts w:hint="eastAsia" w:ascii="Times New Roman" w:hAnsi="Times New Roman" w:eastAsia="黑体" w:cs="黑体"/>
        </w:rPr>
        <w:t>四、推进数智槐荫建设</w:t>
      </w:r>
      <w:bookmarkEnd w:id="60"/>
    </w:p>
    <w:p w14:paraId="560A2337">
      <w:pPr>
        <w:ind w:firstLine="640"/>
        <w:rPr>
          <w:rFonts w:ascii="Times New Roman" w:hAnsi="Times New Roman"/>
          <w:kern w:val="2"/>
          <w:szCs w:val="32"/>
        </w:rPr>
      </w:pPr>
      <w:r>
        <w:rPr>
          <w:rFonts w:hint="eastAsia" w:ascii="Times New Roman" w:hAnsi="Times New Roman" w:eastAsia="楷体_GB2312"/>
        </w:rPr>
        <w:t>（一）</w:t>
      </w:r>
      <w:bookmarkStart w:id="61" w:name="OLE_LINK8"/>
      <w:bookmarkStart w:id="62" w:name="OLE_LINK27"/>
      <w:r>
        <w:rPr>
          <w:rFonts w:hint="eastAsia" w:ascii="Times New Roman" w:hAnsi="Times New Roman" w:eastAsia="楷体_GB2312" w:cs="Times New Roman"/>
          <w:bCs/>
          <w:kern w:val="2"/>
          <w:szCs w:val="32"/>
        </w:rPr>
        <w:t>推动数实融合发展</w:t>
      </w:r>
      <w:bookmarkEnd w:id="61"/>
      <w:r>
        <w:rPr>
          <w:rFonts w:hint="eastAsia" w:ascii="Times New Roman" w:hAnsi="Times New Roman" w:eastAsia="楷体_GB2312" w:cs="Times New Roman"/>
          <w:bCs/>
          <w:kern w:val="2"/>
          <w:szCs w:val="32"/>
        </w:rPr>
        <w:t>。</w:t>
      </w:r>
      <w:r>
        <w:rPr>
          <w:rFonts w:hint="eastAsia" w:ascii="Times New Roman" w:hAnsi="Times New Roman"/>
        </w:rPr>
        <w:t>全面实施“人工智能+”行动，推动人工智能与科学技术、产业发展、消费提质、文化建设、民生保障、社会治理相结合，全方位赋能千行百业，加快创建高能级人工智能应用中试基地，构建人机协同、跨界融合、共创分享的智能经济和智能社会新形态，建设全省一流的数智槐荫。依托国家健康医疗大数据中心（北方），实施“新范式下的国家健康医疗行业数据基础建设运营”和“‘百病千万例’生命队列高质量数据集”国家级试点项目，建设山东省“人工智能+医养健康”中试基地。实施</w:t>
      </w:r>
      <w:r>
        <w:rPr>
          <w:rFonts w:hint="eastAsia" w:ascii="Times New Roman" w:hAnsi="Times New Roman"/>
          <w:kern w:val="2"/>
          <w:szCs w:val="32"/>
        </w:rPr>
        <w:t>制造业数字化转型行动，推进制造业企业智改数转网联，</w:t>
      </w:r>
      <w:r>
        <w:rPr>
          <w:rFonts w:hint="eastAsia" w:ascii="Times New Roman" w:hAnsi="Times New Roman"/>
        </w:rPr>
        <w:t>培育一批5G全连接工厂、晨星工厂、智能工厂。大力培育数字经济核心产业，发展人工智能、大数据、</w:t>
      </w:r>
      <w:r>
        <w:rPr>
          <w:rFonts w:hint="eastAsia" w:ascii="Times New Roman" w:hAnsi="Times New Roman"/>
          <w:kern w:val="2"/>
          <w:szCs w:val="32"/>
        </w:rPr>
        <w:t>云计算等新兴产业，建设数</w:t>
      </w:r>
      <w:r>
        <w:rPr>
          <w:rFonts w:hint="eastAsia" w:ascii="Times New Roman" w:hAnsi="Times New Roman"/>
          <w:kern w:val="2"/>
          <w:szCs w:val="32"/>
          <w:highlight w:val="none"/>
        </w:rPr>
        <w:t>字经济产业</w:t>
      </w:r>
      <w:r>
        <w:rPr>
          <w:rFonts w:hint="eastAsia" w:ascii="Times New Roman" w:hAnsi="Times New Roman"/>
          <w:kern w:val="2"/>
          <w:szCs w:val="32"/>
        </w:rPr>
        <w:t>楼宇。</w:t>
      </w:r>
    </w:p>
    <w:p w14:paraId="5DF5D2F0">
      <w:pPr>
        <w:overflowPunct/>
        <w:adjustRightInd/>
        <w:snapToGrid/>
        <w:ind w:firstLine="640"/>
        <w:rPr>
          <w:rFonts w:ascii="Times New Roman" w:hAnsi="Times New Roman"/>
        </w:rPr>
      </w:pPr>
      <w:r>
        <w:rPr>
          <w:rFonts w:hint="eastAsia" w:ascii="Times New Roman" w:hAnsi="Times New Roman" w:eastAsia="楷体_GB2312"/>
        </w:rPr>
        <w:t>（二）</w:t>
      </w:r>
      <w:bookmarkEnd w:id="62"/>
      <w:r>
        <w:rPr>
          <w:rFonts w:hint="eastAsia" w:ascii="Times New Roman" w:hAnsi="Times New Roman" w:eastAsia="楷体_GB2312"/>
        </w:rPr>
        <w:t>打造数智政府。</w:t>
      </w:r>
      <w:r>
        <w:rPr>
          <w:rFonts w:hint="eastAsia" w:ascii="Times New Roman" w:hAnsi="Times New Roman"/>
        </w:rPr>
        <w:t>推进</w:t>
      </w:r>
      <w:r>
        <w:rPr>
          <w:rFonts w:ascii="Times New Roman" w:hAnsi="Times New Roman"/>
        </w:rPr>
        <w:t>槐荫智脑中心</w:t>
      </w:r>
      <w:r>
        <w:rPr>
          <w:rFonts w:hint="eastAsia" w:ascii="Times New Roman" w:hAnsi="Times New Roman"/>
        </w:rPr>
        <w:t>迭代升级，健全完善“115+N”框架布局，提高智慧城市建设水平，实现“</w:t>
      </w:r>
      <w:r>
        <w:rPr>
          <w:rFonts w:ascii="Times New Roman" w:hAnsi="Times New Roman"/>
        </w:rPr>
        <w:t>一屏观全局、一网知槐荫</w:t>
      </w:r>
      <w:r>
        <w:rPr>
          <w:rFonts w:hint="eastAsia" w:ascii="Times New Roman" w:hAnsi="Times New Roman"/>
        </w:rPr>
        <w:t>”</w:t>
      </w:r>
      <w:r>
        <w:rPr>
          <w:rFonts w:ascii="Times New Roman" w:hAnsi="Times New Roman"/>
        </w:rPr>
        <w:t>。</w:t>
      </w:r>
      <w:r>
        <w:rPr>
          <w:rFonts w:hint="eastAsia" w:ascii="Times New Roman" w:hAnsi="Times New Roman"/>
        </w:rPr>
        <w:t>建设</w:t>
      </w:r>
      <w:r>
        <w:rPr>
          <w:rFonts w:ascii="Times New Roman" w:hAnsi="Times New Roman"/>
        </w:rPr>
        <w:t>升级区一体化大数据平台，规范视频感知等资源管理，加强统一身份认证、电子签章、电子证照等共性能力建设，打破数据壁垒，推动跨部门、跨层级数据共享与业务协同，</w:t>
      </w:r>
      <w:r>
        <w:rPr>
          <w:rFonts w:hint="eastAsia" w:ascii="Times New Roman" w:hAnsi="Times New Roman"/>
        </w:rPr>
        <w:t>推动政府决策可视化、科学化、精准化。</w:t>
      </w:r>
      <w:r>
        <w:rPr>
          <w:rFonts w:hint="eastAsia" w:ascii="Times New Roman" w:hAnsi="Times New Roman"/>
          <w:szCs w:val="40"/>
        </w:rPr>
        <w:t>完善自然资源、食品药品、市场监管、交通运输、消防管理等领域数字化、智能化应用，实现全流程协同管控、风险智能研判。加强政务服务标准化建设，加快构建极简高效政府服务新模式。</w:t>
      </w:r>
    </w:p>
    <w:p w14:paraId="3AAA38D9">
      <w:pPr>
        <w:overflowPunct/>
        <w:adjustRightInd/>
        <w:snapToGrid/>
        <w:ind w:firstLine="640"/>
        <w:rPr>
          <w:rFonts w:ascii="Times New Roman" w:hAnsi="Times New Roman"/>
        </w:rPr>
      </w:pPr>
      <w:r>
        <w:rPr>
          <w:rFonts w:hint="eastAsia" w:ascii="Times New Roman" w:hAnsi="Times New Roman" w:eastAsia="楷体_GB2312"/>
        </w:rPr>
        <w:t>（三）构建数智社会。</w:t>
      </w:r>
      <w:r>
        <w:rPr>
          <w:rFonts w:hint="eastAsia" w:ascii="Times New Roman" w:hAnsi="Times New Roman"/>
        </w:rPr>
        <w:t>深入开展公共服务数智提升行动，提高民生领域数智化服务水平。</w:t>
      </w:r>
      <w:r>
        <w:rPr>
          <w:rFonts w:ascii="Times New Roman" w:hAnsi="Times New Roman"/>
        </w:rPr>
        <w:t>深入推进智慧校园、智慧医院、智慧养老院建设，加快人工智能等新技术在教育教学、辅助诊断、康复护理中的应用，</w:t>
      </w:r>
      <w:r>
        <w:rPr>
          <w:rFonts w:hint="eastAsia" w:ascii="Times New Roman" w:hAnsi="Times New Roman"/>
        </w:rPr>
        <w:t>构建智慧生活新场景</w:t>
      </w:r>
      <w:r>
        <w:rPr>
          <w:rFonts w:ascii="Times New Roman" w:hAnsi="Times New Roman"/>
        </w:rPr>
        <w:t>。推动公共文化数字化，建设数字图书馆、文化馆等云平台。加快街区、商圈等城市微单元基础设施智能化改造升级，完善智慧安防、智能导航指引等功能。深化智慧社区建设，集成智能门禁、停车管理、环境监测等功能，提升社区治理智能化水平。开展数字乡村发展行动，推动数字化赋能乡村治理。</w:t>
      </w:r>
    </w:p>
    <w:p w14:paraId="2F53B9BF">
      <w:pPr>
        <w:pStyle w:val="10"/>
        <w:spacing w:after="0"/>
        <w:ind w:left="0" w:leftChars="0" w:firstLine="640"/>
        <w:rPr>
          <w:rFonts w:ascii="Times New Roman" w:hAnsi="Times New Roman" w:eastAsia="仿宋_GB2312"/>
          <w:sz w:val="32"/>
        </w:rPr>
      </w:pPr>
      <w:r>
        <w:rPr>
          <w:rFonts w:hint="eastAsia" w:ascii="Times New Roman" w:hAnsi="Times New Roman" w:eastAsia="楷体_GB2312"/>
          <w:sz w:val="32"/>
        </w:rPr>
        <w:t>（四）加快新型基础设施建设。</w:t>
      </w:r>
      <w:r>
        <w:rPr>
          <w:rFonts w:hint="eastAsia" w:ascii="Times New Roman" w:hAnsi="Times New Roman" w:eastAsia="仿宋_GB2312"/>
          <w:sz w:val="32"/>
        </w:rPr>
        <w:t>深入实施“信号升格”专项行动，强化5G网络深度覆盖，持续提升网络质量和用户感知，推进5G-A网络建设应用。深化千兆光网建设，协同推进新一代无线局域网部署，加快区域骨干网、城域网和接入网IPv6升级改造。抢先布局第六代移动通信建设，推动从5G的“万物互联”升级到“万物智联”。完善物联网和城市感知体系建设，构建低、中、高速协同的移动物联网覆盖体系，支持</w:t>
      </w:r>
      <w:bookmarkStart w:id="63" w:name="OLE_LINK28"/>
      <w:r>
        <w:rPr>
          <w:rFonts w:hint="eastAsia" w:ascii="Times New Roman" w:hAnsi="Times New Roman" w:eastAsia="仿宋_GB2312"/>
          <w:sz w:val="32"/>
        </w:rPr>
        <w:t>新技术在城市管理、公共安全、环境监测、智慧社区等领域</w:t>
      </w:r>
      <w:bookmarkEnd w:id="63"/>
      <w:r>
        <w:rPr>
          <w:rFonts w:hint="eastAsia" w:ascii="Times New Roman" w:hAnsi="Times New Roman" w:eastAsia="仿宋_GB2312"/>
          <w:sz w:val="32"/>
        </w:rPr>
        <w:t>的广泛应用，提升城市运行感知能力。</w:t>
      </w:r>
    </w:p>
    <w:p w14:paraId="3A0990DB">
      <w:pPr>
        <w:pStyle w:val="10"/>
        <w:spacing w:after="0"/>
        <w:ind w:left="0" w:leftChars="0" w:firstLine="640"/>
        <w:rPr>
          <w:rFonts w:ascii="Times New Roman" w:hAnsi="Times New Roman" w:eastAsia="仿宋_GB2312"/>
          <w:sz w:val="32"/>
        </w:rPr>
        <w:sectPr>
          <w:footerReference r:id="rId12" w:type="default"/>
          <w:pgSz w:w="11906" w:h="16838"/>
          <w:pgMar w:top="2098" w:right="1474" w:bottom="1984" w:left="1587" w:header="851" w:footer="992" w:gutter="0"/>
          <w:pgNumType w:start="1"/>
          <w:cols w:space="425" w:num="1"/>
          <w:docGrid w:type="lines" w:linePitch="312" w:charSpace="0"/>
        </w:sectPr>
      </w:pPr>
    </w:p>
    <w:p w14:paraId="1C06EB71">
      <w:pPr>
        <w:adjustRightInd/>
        <w:snapToGrid/>
        <w:spacing w:line="560" w:lineRule="exact"/>
        <w:ind w:firstLine="0" w:firstLineChars="0"/>
        <w:jc w:val="center"/>
        <w:outlineLvl w:val="0"/>
        <w:rPr>
          <w:rFonts w:ascii="Times New Roman" w:hAnsi="Times New Roman" w:eastAsia="方正小标宋简体" w:cs="Times New Roman"/>
          <w:bCs/>
          <w:spacing w:val="-4"/>
          <w:kern w:val="2"/>
          <w:sz w:val="36"/>
          <w:szCs w:val="36"/>
        </w:rPr>
      </w:pPr>
      <w:bookmarkStart w:id="64" w:name="_Toc16571"/>
      <w:r>
        <w:rPr>
          <w:rFonts w:hint="eastAsia" w:ascii="Times New Roman" w:hAnsi="Times New Roman" w:eastAsia="方正小标宋简体" w:cs="Times New Roman"/>
          <w:bCs/>
          <w:spacing w:val="-4"/>
          <w:kern w:val="2"/>
          <w:sz w:val="36"/>
          <w:szCs w:val="36"/>
        </w:rPr>
        <w:t>第四章 全方位扩大内需，主动服务和融入新发展格局</w:t>
      </w:r>
      <w:bookmarkEnd w:id="64"/>
    </w:p>
    <w:p w14:paraId="50830546">
      <w:pPr>
        <w:ind w:firstLine="640"/>
        <w:rPr>
          <w:rFonts w:ascii="Times New Roman" w:hAnsi="Times New Roman"/>
        </w:rPr>
      </w:pPr>
    </w:p>
    <w:p w14:paraId="4D6E233F">
      <w:pPr>
        <w:ind w:firstLine="640"/>
        <w:rPr>
          <w:rFonts w:ascii="Times New Roman" w:hAnsi="Times New Roman"/>
        </w:rPr>
      </w:pPr>
      <w:r>
        <w:rPr>
          <w:rFonts w:hint="eastAsia" w:ascii="Times New Roman" w:hAnsi="Times New Roman"/>
        </w:rPr>
        <w:t>坚决扩大内需这个战略基点，坚持惠民生和促消费、投资于物和投资于人紧密结合，以新需求引领新供给，以新供给创造新需求，打造高品质供给体系和高端消费载体，促进消费和投资、供给和需求良性互动，积极服务和融入全国统一大市场建设。</w:t>
      </w:r>
    </w:p>
    <w:p w14:paraId="154B1968">
      <w:pPr>
        <w:adjustRightInd/>
        <w:snapToGrid/>
        <w:ind w:firstLine="640"/>
        <w:outlineLvl w:val="1"/>
        <w:rPr>
          <w:rFonts w:ascii="Times New Roman" w:hAnsi="Times New Roman" w:eastAsia="方正小标宋简体" w:cs="方正小标宋简体"/>
          <w:kern w:val="2"/>
          <w:szCs w:val="32"/>
        </w:rPr>
      </w:pPr>
      <w:bookmarkStart w:id="65" w:name="_Toc2055"/>
      <w:r>
        <w:rPr>
          <w:rFonts w:hint="eastAsia" w:ascii="Times New Roman" w:hAnsi="Times New Roman" w:eastAsia="黑体"/>
        </w:rPr>
        <w:t>一、提升消费辐射能级</w:t>
      </w:r>
      <w:bookmarkEnd w:id="65"/>
    </w:p>
    <w:p w14:paraId="7D1A655F">
      <w:pPr>
        <w:numPr>
          <w:ilvl w:val="0"/>
          <w:numId w:val="1"/>
        </w:numPr>
        <w:ind w:firstLine="640"/>
        <w:rPr>
          <w:rFonts w:ascii="Times New Roman" w:hAnsi="Times New Roman"/>
        </w:rPr>
      </w:pPr>
      <w:r>
        <w:rPr>
          <w:rFonts w:hint="eastAsia" w:ascii="Times New Roman" w:hAnsi="Times New Roman" w:eastAsia="楷体_GB2312"/>
        </w:rPr>
        <w:t>强化消费载体建设。</w:t>
      </w:r>
      <w:r>
        <w:rPr>
          <w:rFonts w:hint="eastAsia" w:ascii="Times New Roman" w:hAnsi="Times New Roman"/>
        </w:rPr>
        <w:t>传承百年商埠历史文化底蕴，着力打造兼容不同层次、涵盖不同场景、满足不同需求的全域商贸示范区，在全市都市级商业中心创建中争第一，打造全省商业新地标。深入实施提振消费专项行动，统筹促就业、增收入、稳预期，增强居民消费能力，提高“约惠槐荫”消费品牌美誉度、影响力。提质扩容“三圈两带一街区多点”消费格局，提升消费载体支撑作用，推动商圈、商业街区改造提升，实施“一商圈一策”场景化改造、数字化赋能、供应链提升行动，发展智慧商圈，打造特色化、差异化消费地标。</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BBD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auto" w:sz="4" w:space="0"/>
              <w:left w:val="single" w:color="auto" w:sz="4" w:space="0"/>
              <w:bottom w:val="single" w:color="auto" w:sz="4" w:space="0"/>
              <w:right w:val="single" w:color="auto" w:sz="4" w:space="0"/>
            </w:tcBorders>
          </w:tcPr>
          <w:p w14:paraId="78AFEF5C">
            <w:pPr>
              <w:spacing w:line="480" w:lineRule="exact"/>
              <w:ind w:firstLine="0" w:firstLineChars="0"/>
              <w:jc w:val="center"/>
              <w:rPr>
                <w:rFonts w:ascii="Times New Roman" w:hAnsi="Times New Roman" w:eastAsia="黑体" w:cs="黑体"/>
                <w:sz w:val="28"/>
                <w:szCs w:val="28"/>
              </w:rPr>
            </w:pPr>
            <w:bookmarkStart w:id="66" w:name="_Toc3622"/>
            <w:bookmarkStart w:id="67" w:name="_Toc12822"/>
            <w:r>
              <w:rPr>
                <w:rFonts w:hint="eastAsia" w:ascii="Times New Roman" w:hAnsi="Times New Roman" w:eastAsia="黑体" w:cs="黑体"/>
                <w:kern w:val="2"/>
                <w:sz w:val="28"/>
                <w:szCs w:val="28"/>
              </w:rPr>
              <w:t>专栏</w:t>
            </w:r>
            <w:bookmarkStart w:id="68" w:name="_Toc182"/>
            <w:bookmarkStart w:id="69" w:name="_Toc16941"/>
            <w:r>
              <w:rPr>
                <w:rFonts w:hint="eastAsia" w:ascii="Times New Roman" w:hAnsi="Times New Roman" w:eastAsia="黑体" w:cs="黑体"/>
                <w:kern w:val="2"/>
                <w:sz w:val="28"/>
                <w:szCs w:val="28"/>
              </w:rPr>
              <w:t xml:space="preserve">1 </w:t>
            </w:r>
            <w:bookmarkEnd w:id="66"/>
            <w:bookmarkEnd w:id="67"/>
            <w:bookmarkEnd w:id="68"/>
            <w:bookmarkEnd w:id="69"/>
            <w:r>
              <w:rPr>
                <w:rFonts w:hint="eastAsia" w:ascii="Times New Roman" w:hAnsi="Times New Roman" w:eastAsia="黑体" w:cs="黑体"/>
                <w:kern w:val="2"/>
                <w:sz w:val="28"/>
                <w:szCs w:val="28"/>
              </w:rPr>
              <w:t>槐荫区重点商圈发展策略</w:t>
            </w:r>
          </w:p>
          <w:p w14:paraId="107E9463">
            <w:pPr>
              <w:spacing w:line="480" w:lineRule="exact"/>
              <w:ind w:firstLine="560"/>
              <w:rPr>
                <w:rFonts w:ascii="Times New Roman" w:hAnsi="Times New Roman" w:eastAsia="楷体_GB2312" w:cs="楷体_GB2312"/>
                <w:kern w:val="2"/>
                <w:sz w:val="28"/>
                <w:szCs w:val="28"/>
                <w:lang w:bidi="ar"/>
              </w:rPr>
            </w:pPr>
            <w:r>
              <w:rPr>
                <w:rFonts w:hint="eastAsia" w:ascii="Times New Roman" w:hAnsi="Times New Roman" w:eastAsia="楷体_GB2312" w:cs="楷体_GB2312"/>
                <w:kern w:val="2"/>
                <w:sz w:val="28"/>
                <w:szCs w:val="28"/>
                <w:lang w:bidi="ar"/>
              </w:rPr>
              <w:t>1.济南西站枢纽商圈。充分利用腊山河生态工程的生态优势，串联印象济南·泉世界、一院四馆、龙湖济南西城天街等文商旅载体，构建“山水活力＋文旅体验＋夜间沉浸”的复合型消费带，形成全龄友好消费目的地。大力发展首店经济、国潮经济和谷子经济，开发国潮文创产品，举办国潮主题展览、汉服文化节、COSPLAY表演等活动，打造新场景、新玩法、新体验，引领消费“向西”，打造国际化现代化商圈。</w:t>
            </w:r>
          </w:p>
          <w:p w14:paraId="630F4619">
            <w:pPr>
              <w:spacing w:line="480" w:lineRule="exact"/>
              <w:ind w:firstLine="560"/>
              <w:rPr>
                <w:rFonts w:ascii="Times New Roman" w:hAnsi="Times New Roman" w:eastAsia="楷体_GB2312" w:cs="楷体_GB2312"/>
                <w:kern w:val="2"/>
                <w:sz w:val="28"/>
                <w:szCs w:val="28"/>
                <w:lang w:bidi="ar"/>
              </w:rPr>
            </w:pPr>
            <w:r>
              <w:rPr>
                <w:rFonts w:hint="eastAsia" w:ascii="Times New Roman" w:hAnsi="Times New Roman" w:eastAsia="楷体_GB2312" w:cs="楷体_GB2312"/>
                <w:kern w:val="2"/>
                <w:sz w:val="28"/>
                <w:szCs w:val="28"/>
                <w:lang w:bidi="ar"/>
              </w:rPr>
              <w:t>2.济南和谐商圈。注重利用自身地域优势，推动商业业态迭代升级，提升商业设施的现代化水平和消费体验，加强3D实景步行导引等文化新场景建设，鼓励壹合广场差异化发展，加快远洋广场项目建设，打造成综合性购物中心、中高奢消费集聚地。</w:t>
            </w:r>
          </w:p>
          <w:p w14:paraId="5C010665">
            <w:pPr>
              <w:spacing w:line="480" w:lineRule="exact"/>
              <w:ind w:firstLine="560"/>
              <w:rPr>
                <w:rFonts w:ascii="Times New Roman" w:hAnsi="Times New Roman" w:eastAsia="楷体_GB2312" w:cs="楷体_GB2312"/>
                <w:kern w:val="2"/>
                <w:sz w:val="28"/>
                <w:szCs w:val="28"/>
                <w:lang w:bidi="ar"/>
              </w:rPr>
            </w:pPr>
            <w:r>
              <w:rPr>
                <w:rFonts w:hint="eastAsia" w:ascii="Times New Roman" w:hAnsi="Times New Roman" w:eastAsia="楷体_GB2312" w:cs="楷体_GB2312"/>
                <w:kern w:val="2"/>
                <w:sz w:val="28"/>
                <w:szCs w:val="28"/>
                <w:lang w:bidi="ar"/>
              </w:rPr>
              <w:t>3.济南华联嘉华商圈。加快推动商业综合体改造和商贸消费环境重塑，全力打造以专业市场为特色的批发零售商圈。推动“智慧商业＋实体商业”融合发展，推广“数字赋能＋连锁经营＋跨境电商”，引进电商创新孵化载体等，推动“直播＋”赋能实体零售。</w:t>
            </w:r>
          </w:p>
          <w:p w14:paraId="2E5F3E50">
            <w:pPr>
              <w:spacing w:line="480" w:lineRule="exact"/>
              <w:ind w:firstLine="560"/>
              <w:rPr>
                <w:rFonts w:ascii="Times New Roman" w:hAnsi="Times New Roman" w:eastAsia="楷体_GB2312" w:cs="楷体_GB2312"/>
                <w:kern w:val="2"/>
                <w:sz w:val="28"/>
                <w:szCs w:val="28"/>
                <w:lang w:bidi="ar"/>
              </w:rPr>
            </w:pPr>
            <w:r>
              <w:rPr>
                <w:rFonts w:hint="eastAsia" w:ascii="Times New Roman" w:hAnsi="Times New Roman" w:eastAsia="楷体_GB2312" w:cs="楷体_GB2312"/>
                <w:kern w:val="2"/>
                <w:sz w:val="28"/>
                <w:szCs w:val="28"/>
                <w:lang w:bidi="ar"/>
              </w:rPr>
              <w:t>4.纬十二路消费带。释放阳光100凤凰街市级商业街、市级夜间经济示范区品牌优势，培育夜市、夜宵、夜秀等夜间消费热点，强化夜间消费的“烟火气”与“体验感”，串联大型商业综合体及服务设施，大力发展商务商贸、高端消费、现代金融等产业，打造济南西部都市消费带。</w:t>
            </w:r>
          </w:p>
          <w:p w14:paraId="16E652F0">
            <w:pPr>
              <w:spacing w:line="480" w:lineRule="exact"/>
              <w:ind w:firstLine="560"/>
              <w:rPr>
                <w:rFonts w:ascii="Times New Roman" w:hAnsi="Times New Roman" w:eastAsia="楷体_GB2312" w:cs="楷体_GB2312"/>
                <w:kern w:val="2"/>
                <w:sz w:val="28"/>
                <w:szCs w:val="28"/>
                <w:lang w:bidi="ar"/>
              </w:rPr>
            </w:pPr>
            <w:r>
              <w:rPr>
                <w:rFonts w:hint="eastAsia" w:ascii="Times New Roman" w:hAnsi="Times New Roman" w:eastAsia="楷体_GB2312" w:cs="楷体_GB2312"/>
                <w:kern w:val="2"/>
                <w:sz w:val="28"/>
                <w:szCs w:val="28"/>
                <w:lang w:bidi="ar"/>
              </w:rPr>
              <w:t>5.经十西路汽车产业带。发挥匡山汽车大世界、润华汽车主题公园、保能汽车商城等汽车消费载体引领优势，规划建设新能源汽车全周期体验中心、“未来出行体验馆”、新能源汽车创新服务中心、智慧物流中心及二手车评估中心、保险理赔站、24小时救援中心等功能板块，布局完善汽车博物馆、汽车餐厅、汽车酒店等多元化业态和设施，构建“购车—养护—置换”闭环，打造百亿级产业集群。</w:t>
            </w:r>
          </w:p>
          <w:p w14:paraId="1D088CCB">
            <w:pPr>
              <w:spacing w:line="480" w:lineRule="exact"/>
              <w:ind w:firstLine="560"/>
              <w:rPr>
                <w:rFonts w:ascii="Times New Roman" w:hAnsi="Times New Roman" w:eastAsia="楷体_GB2312" w:cs="楷体_GB2312"/>
                <w:kern w:val="2"/>
                <w:sz w:val="28"/>
                <w:szCs w:val="28"/>
                <w:lang w:bidi="ar"/>
              </w:rPr>
            </w:pPr>
            <w:r>
              <w:rPr>
                <w:rFonts w:hint="eastAsia" w:ascii="Times New Roman" w:hAnsi="Times New Roman" w:eastAsia="楷体_GB2312" w:cs="楷体_GB2312"/>
                <w:kern w:val="2"/>
                <w:sz w:val="28"/>
                <w:szCs w:val="28"/>
                <w:lang w:bidi="ar"/>
              </w:rPr>
              <w:t>6.茶文化主题街区。放大“江北第一茶市”的集群效应，提质升级济南1953茶文化创意园、501PARK等产业载体，推动茶文化与数字技术、文化艺术、新兴业态等深度融合，构建“三街六园”沉浸式文化消费空间，建设集茶叶交易、茶文化体验、休闲购物为一体的济南茶文化主题街区，打造时尚高端的茶文化会客厅。</w:t>
            </w:r>
          </w:p>
          <w:p w14:paraId="6C0E05C9">
            <w:pPr>
              <w:pStyle w:val="10"/>
              <w:spacing w:after="0" w:line="240" w:lineRule="auto"/>
              <w:ind w:left="0" w:leftChars="0" w:firstLine="0" w:firstLineChars="0"/>
              <w:rPr>
                <w:rFonts w:hint="eastAsia"/>
                <w:lang w:bidi="ar"/>
              </w:rPr>
            </w:pPr>
            <w:r>
              <w:rPr>
                <w:rFonts w:hint="eastAsia"/>
                <w:lang w:bidi="ar"/>
              </w:rPr>
              <w:drawing>
                <wp:inline distT="0" distB="0" distL="0" distR="0">
                  <wp:extent cx="5261610" cy="3575050"/>
                  <wp:effectExtent l="0" t="0" r="0" b="6350"/>
                  <wp:docPr id="3363815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381561" name="图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95002" cy="3597869"/>
                          </a:xfrm>
                          <a:prstGeom prst="rect">
                            <a:avLst/>
                          </a:prstGeom>
                          <a:noFill/>
                        </pic:spPr>
                      </pic:pic>
                    </a:graphicData>
                  </a:graphic>
                </wp:inline>
              </w:drawing>
            </w:r>
          </w:p>
          <w:p w14:paraId="7100D924">
            <w:pPr>
              <w:spacing w:line="480" w:lineRule="exact"/>
              <w:ind w:firstLine="560"/>
              <w:jc w:val="center"/>
              <w:rPr>
                <w:rFonts w:ascii="Times New Roman" w:hAnsi="Times New Roman"/>
                <w:lang w:bidi="ar"/>
              </w:rPr>
            </w:pPr>
            <w:r>
              <w:rPr>
                <w:rFonts w:hint="eastAsia" w:ascii="Times New Roman" w:hAnsi="Times New Roman"/>
                <w:kern w:val="2"/>
                <w:sz w:val="28"/>
                <w:szCs w:val="28"/>
                <w:lang w:bidi="ar"/>
              </w:rPr>
              <w:t>图1 槐荫区消费商圈布局图</w:t>
            </w:r>
          </w:p>
          <w:p w14:paraId="48973449">
            <w:pPr>
              <w:pStyle w:val="10"/>
              <w:spacing w:after="0" w:line="240" w:lineRule="auto"/>
              <w:ind w:left="0" w:leftChars="0" w:firstLine="0" w:firstLineChars="0"/>
              <w:jc w:val="center"/>
              <w:rPr>
                <w:rFonts w:ascii="Times New Roman" w:hAnsi="Times New Roman"/>
                <w:lang w:bidi="ar"/>
              </w:rPr>
            </w:pPr>
          </w:p>
        </w:tc>
      </w:tr>
    </w:tbl>
    <w:p w14:paraId="68524005">
      <w:pPr>
        <w:ind w:firstLine="640"/>
        <w:rPr>
          <w:rFonts w:ascii="Times New Roman" w:hAnsi="Times New Roman"/>
        </w:rPr>
      </w:pPr>
      <w:r>
        <w:rPr>
          <w:rFonts w:hint="eastAsia" w:ascii="Times New Roman" w:hAnsi="Times New Roman" w:eastAsia="楷体_GB2312"/>
        </w:rPr>
        <w:t>（二）构建多元融合消费业态。</w:t>
      </w:r>
      <w:r>
        <w:rPr>
          <w:rFonts w:hint="eastAsia" w:ascii="Times New Roman" w:hAnsi="Times New Roman"/>
        </w:rPr>
        <w:t>巩固高品质商品消费供给，激发汽车、家电等大宗消费活力，推动消费品以旧换新。挖掘餐饮住宿等基础型消费潜力，引进品牌首店落地，积极创评国家钻级酒家、中国绿色饭店。扩大优质服务消费供给，积极促进文商旅体健深度融合，培育壮大夜间经济、健康悦己消费、电竞消费、银发经济、演艺经济等特色品牌消费，大力发展首发经济、谷子经济、赛事经济、宠物经济、数字消费等新消费业态，打造融合化消费场景。推动济南国际医学中心和济南西站枢纽经济商务区资源共享、连片发展，创新医养文商旅展服务，打造医养健康消费之都。健全促进消费机制，完善适应消费新业态新模式新场景的措施，落实带薪错峰休假。助力优化消费环境，探索多元消费调解机制，全力维护消费者权益。</w:t>
      </w:r>
    </w:p>
    <w:p w14:paraId="366EF8D4">
      <w:pPr>
        <w:ind w:firstLine="640"/>
        <w:outlineLvl w:val="1"/>
        <w:rPr>
          <w:rFonts w:ascii="Times New Roman" w:hAnsi="Times New Roman" w:eastAsia="黑体"/>
          <w:kern w:val="2"/>
          <w:szCs w:val="32"/>
        </w:rPr>
      </w:pPr>
      <w:bookmarkStart w:id="70" w:name="_Toc28315"/>
      <w:bookmarkStart w:id="71" w:name="_Toc1369"/>
      <w:r>
        <w:rPr>
          <w:rFonts w:hint="eastAsia" w:ascii="Times New Roman" w:hAnsi="Times New Roman" w:eastAsia="黑体"/>
          <w:kern w:val="2"/>
          <w:szCs w:val="32"/>
        </w:rPr>
        <w:t>二、</w:t>
      </w:r>
      <w:bookmarkEnd w:id="70"/>
      <w:r>
        <w:rPr>
          <w:rFonts w:hint="eastAsia" w:ascii="Times New Roman" w:hAnsi="Times New Roman" w:eastAsia="黑体"/>
          <w:kern w:val="2"/>
          <w:szCs w:val="32"/>
        </w:rPr>
        <w:t>扩大有效投资支撑</w:t>
      </w:r>
      <w:bookmarkEnd w:id="71"/>
    </w:p>
    <w:p w14:paraId="5A4C9DE7">
      <w:pPr>
        <w:ind w:firstLine="640"/>
        <w:rPr>
          <w:rFonts w:ascii="Times New Roman" w:hAnsi="Times New Roman"/>
          <w:kern w:val="2"/>
          <w:szCs w:val="32"/>
        </w:rPr>
      </w:pPr>
      <w:r>
        <w:rPr>
          <w:rFonts w:hint="eastAsia" w:ascii="Times New Roman" w:hAnsi="Times New Roman"/>
          <w:kern w:val="2"/>
          <w:szCs w:val="32"/>
        </w:rPr>
        <w:t>优化投资于物结构，聚焦重大战略、产业转型、消费升级、城市更新、安全能力提升等领域，强化项目谋划储备，以项目建设牵引有效投资。强化项目必要性可行性论证，依托“五大主战场”，引进实施一批落地快、效益高的重大标志性引领性工程项目，优化项目推进服务。强化项目服务保障，探索优化项目建设服务中心实体化、创新化运营模式，提高项目全生命周期服务质量。加大投资于人力度，提高民生类政府投资比重，优化基础设施和公共服务设施布局，推动基本公共服务供给和人口变化相协调，加强人力资源开发和人的全面发展投资。拓展投资来源，发挥政府投资基金引导带动作用，提高民间投资比重，完善民营企业参与重大项目建设长效机制，激发民间投资活力。发挥投资对优化供给结构的关键作用，积极探索编制全口径政府投资计划，加强政府投资全过程管理、项目建设运营管理和事中事后监管，实现投资合理增长、效益持续提高。</w:t>
      </w:r>
    </w:p>
    <w:p w14:paraId="48528C4C">
      <w:pPr>
        <w:ind w:firstLine="640"/>
        <w:outlineLvl w:val="1"/>
        <w:rPr>
          <w:rFonts w:ascii="Times New Roman" w:hAnsi="Times New Roman" w:eastAsia="黑体"/>
        </w:rPr>
      </w:pPr>
      <w:bookmarkStart w:id="72" w:name="_Toc18868"/>
      <w:r>
        <w:rPr>
          <w:rFonts w:hint="eastAsia" w:ascii="Times New Roman" w:hAnsi="Times New Roman" w:eastAsia="黑体"/>
          <w:kern w:val="2"/>
          <w:szCs w:val="32"/>
        </w:rPr>
        <w:t>三、</w:t>
      </w:r>
      <w:r>
        <w:rPr>
          <w:rFonts w:hint="eastAsia" w:ascii="Times New Roman" w:hAnsi="Times New Roman" w:eastAsia="黑体"/>
        </w:rPr>
        <w:t>服务和融入全国统一大市场建设</w:t>
      </w:r>
      <w:bookmarkEnd w:id="72"/>
    </w:p>
    <w:p w14:paraId="21DD103C">
      <w:pPr>
        <w:ind w:firstLine="640"/>
        <w:rPr>
          <w:rFonts w:hint="eastAsia"/>
        </w:rPr>
      </w:pPr>
      <w:r>
        <w:rPr>
          <w:rFonts w:hint="eastAsia" w:ascii="Times New Roman" w:hAnsi="Times New Roman"/>
        </w:rPr>
        <w:t>落实统一市场基础制度规则，完善市场准入、产权保护、信息披露、信用建设、公平竞争等制度，充分对接国内市场，加速融入国内大循环。严格落实市场准入负面清单制度，推动“非禁即入”全面落实。强化社会信用体系建设，充分发挥山东首家“信用茶城”引领带动作用，拓展培育“信用＋”应用场景，增强信用价值转化效能。加强市场监管执法，强化质量监管，全面推行跨部门综合监管，实现“进一次门、查多项事”全覆盖。健全招商引资、财政奖补等制度规则，完善政策动态调整和公开机制，持续优化招商引资政策体系。依法平等保护各种所有制经济产权，严格执行知识产权惩罚性赔偿制度。严格落实国家市场监管领域行政处罚裁量基准，强化反垄断和反不正当竞争执法司法，综合整治“内卷式”竞争，形成优质优价、良性竞争的市场秩序。</w:t>
      </w:r>
    </w:p>
    <w:p w14:paraId="38C4925B">
      <w:pPr>
        <w:ind w:firstLine="704"/>
        <w:rPr>
          <w:rFonts w:ascii="Times New Roman" w:hAnsi="Times New Roman" w:eastAsia="方正小标宋简体" w:cs="Times New Roman"/>
          <w:bCs/>
          <w:spacing w:val="-4"/>
          <w:kern w:val="2"/>
          <w:sz w:val="36"/>
          <w:szCs w:val="36"/>
        </w:rPr>
      </w:pPr>
      <w:bookmarkStart w:id="73" w:name="_Toc6841"/>
      <w:r>
        <w:rPr>
          <w:rFonts w:hint="eastAsia" w:ascii="Times New Roman" w:hAnsi="Times New Roman" w:eastAsia="方正小标宋简体" w:cs="Times New Roman"/>
          <w:bCs/>
          <w:spacing w:val="-4"/>
          <w:kern w:val="2"/>
          <w:sz w:val="36"/>
          <w:szCs w:val="36"/>
        </w:rPr>
        <w:br w:type="page"/>
      </w:r>
    </w:p>
    <w:p w14:paraId="682F8E9D">
      <w:pPr>
        <w:adjustRightInd/>
        <w:snapToGrid/>
        <w:spacing w:line="560" w:lineRule="exact"/>
        <w:ind w:firstLine="0" w:firstLineChars="0"/>
        <w:jc w:val="center"/>
        <w:outlineLvl w:val="0"/>
        <w:rPr>
          <w:rFonts w:ascii="Times New Roman" w:hAnsi="Times New Roman" w:eastAsia="方正小标宋简体" w:cs="Times New Roman"/>
          <w:bCs/>
          <w:spacing w:val="-4"/>
          <w:kern w:val="2"/>
          <w:sz w:val="36"/>
          <w:szCs w:val="36"/>
        </w:rPr>
      </w:pPr>
      <w:bookmarkStart w:id="74" w:name="_Toc26079"/>
      <w:r>
        <w:rPr>
          <w:rFonts w:hint="eastAsia" w:ascii="Times New Roman" w:hAnsi="Times New Roman" w:eastAsia="方正小标宋简体" w:cs="Times New Roman"/>
          <w:bCs/>
          <w:spacing w:val="-4"/>
          <w:kern w:val="2"/>
          <w:sz w:val="36"/>
          <w:szCs w:val="36"/>
        </w:rPr>
        <w:t>第五章 持续深化改革开放，增强高质量发展动力活力</w:t>
      </w:r>
      <w:bookmarkEnd w:id="74"/>
    </w:p>
    <w:p w14:paraId="037F09E9">
      <w:pPr>
        <w:ind w:firstLine="640"/>
        <w:rPr>
          <w:rFonts w:ascii="Times New Roman" w:hAnsi="Times New Roman"/>
          <w:kern w:val="2"/>
          <w:szCs w:val="32"/>
        </w:rPr>
      </w:pPr>
    </w:p>
    <w:p w14:paraId="3BABE033">
      <w:pPr>
        <w:ind w:firstLine="640"/>
        <w:rPr>
          <w:rFonts w:ascii="Times New Roman" w:hAnsi="Times New Roman"/>
          <w:kern w:val="2"/>
          <w:szCs w:val="32"/>
        </w:rPr>
      </w:pPr>
      <w:r>
        <w:rPr>
          <w:rFonts w:hint="eastAsia" w:ascii="Times New Roman" w:hAnsi="Times New Roman"/>
          <w:kern w:val="2"/>
          <w:szCs w:val="32"/>
        </w:rPr>
        <w:t>统筹推进重点领域改革，创新要素市场化配置方式，打造一流营商环境，全面融入黄河流域、京沪沿线开放型经济体系，打造重要节点城区，全力提升市场活力、门户形象，形成更高水平的开放协同格局。</w:t>
      </w:r>
    </w:p>
    <w:p w14:paraId="4BC4D2FA">
      <w:pPr>
        <w:ind w:firstLine="640"/>
        <w:outlineLvl w:val="1"/>
        <w:rPr>
          <w:rFonts w:ascii="Times New Roman" w:hAnsi="Times New Roman" w:eastAsia="黑体" w:cs="黑体"/>
        </w:rPr>
      </w:pPr>
      <w:bookmarkStart w:id="75" w:name="_Toc15133"/>
      <w:r>
        <w:rPr>
          <w:rFonts w:hint="eastAsia" w:ascii="Times New Roman" w:hAnsi="Times New Roman" w:eastAsia="黑体" w:cs="黑体"/>
        </w:rPr>
        <w:t>一、激发各类经营主体活力</w:t>
      </w:r>
      <w:bookmarkEnd w:id="75"/>
    </w:p>
    <w:p w14:paraId="58DEA17A">
      <w:pPr>
        <w:ind w:firstLine="640"/>
        <w:rPr>
          <w:rFonts w:ascii="Times New Roman" w:hAnsi="Times New Roman" w:eastAsia="黑体" w:cs="黑体"/>
        </w:rPr>
      </w:pPr>
      <w:r>
        <w:rPr>
          <w:rFonts w:hint="eastAsia" w:ascii="Times New Roman" w:hAnsi="Times New Roman"/>
        </w:rPr>
        <w:t>坚持和落实“两个毫不动摇”，促进各种所有制经济优势互补、共同发展。推动国资国企做强做优，深化国资国企改革，引导区属国有企业聚焦主责主业，通过内生发展、整合并购等方式加力布局，加快提升国有企业价值创造能力，鼓励企业更加注重内在价值、长期价值，实现质量更高、效益更好、结构更优、带动更强的发展。</w:t>
      </w:r>
      <w:r>
        <w:rPr>
          <w:rFonts w:hint="eastAsia" w:ascii="Times New Roman" w:hAnsi="Times New Roman"/>
        </w:rPr>
        <w:t>提升国有企业现代化治理水平，健全国有企业法人治理结构和市场化经营机制，完善分类考核评价体系，强化穿透式监管。开展民营经济活力提升行动，落实民营经济促进条例，全面落实各类惠企政策，提高工业用地、新增能耗支持民间投资项目比重，强化产权执法司法保护，有效保护合法权益。打造亲清政商关系，完善政企常态化沟通交流机制，落实落细联系服务机制，做到“企有所呼、政有所应”。支持中小微企业和个体工商户发展，推动大中小企业协同发展，不断提高民营经济贡献度。完善中国特色现代企业制度，弘扬企业家精神和儒商文化，大力培养年轻一代企业家，加快培育根植槐荫的国内外一流企业。</w:t>
      </w:r>
    </w:p>
    <w:p w14:paraId="6FE5AB4C">
      <w:pPr>
        <w:ind w:left="640" w:leftChars="200" w:firstLine="0" w:firstLineChars="0"/>
        <w:outlineLvl w:val="1"/>
        <w:rPr>
          <w:rFonts w:ascii="Times New Roman" w:hAnsi="Times New Roman" w:eastAsia="黑体" w:cs="黑体"/>
        </w:rPr>
      </w:pPr>
      <w:bookmarkStart w:id="76" w:name="_Toc19921"/>
      <w:r>
        <w:rPr>
          <w:rFonts w:hint="eastAsia" w:ascii="Times New Roman" w:hAnsi="Times New Roman" w:eastAsia="黑体" w:cs="黑体"/>
        </w:rPr>
        <w:t>二、创新要素市场化配置方式</w:t>
      </w:r>
      <w:bookmarkEnd w:id="76"/>
    </w:p>
    <w:p w14:paraId="58E9649D">
      <w:pPr>
        <w:ind w:firstLine="640"/>
        <w:rPr>
          <w:rFonts w:ascii="Times New Roman" w:hAnsi="Times New Roman"/>
        </w:rPr>
      </w:pPr>
      <w:r>
        <w:rPr>
          <w:rFonts w:hint="eastAsia" w:ascii="Times New Roman" w:hAnsi="Times New Roman"/>
        </w:rPr>
        <w:t>坚持要素市场化改革方向，加快培育数据、技术、资本等新型要素市场，促进各类要素资源畅通流动、高效配置，推动土地、劳动力、资本、技术、数据等要素向新质生产力集聚。建立健全流动顺畅的劳动力市场，建立统一规范的人才市场体系，探索农民工等劳务服务市场运营槐荫经验，推动人口与产业、城市协调发展。深化“亩产效益”综合评价改革，提升土地等资源要素节约集约利用水平，盘活用好低效用地、闲置房产、存量基础设施。推动司法判决执行与破产制度有机衔接，依法有效盘活被查封冻结财产。</w:t>
      </w:r>
    </w:p>
    <w:p w14:paraId="0CC5CB5B">
      <w:pPr>
        <w:ind w:firstLine="640"/>
        <w:outlineLvl w:val="1"/>
        <w:rPr>
          <w:rFonts w:ascii="Times New Roman" w:hAnsi="Times New Roman" w:eastAsia="黑体" w:cs="黑体"/>
        </w:rPr>
      </w:pPr>
      <w:bookmarkStart w:id="77" w:name="_Toc28503"/>
      <w:r>
        <w:rPr>
          <w:rFonts w:hint="eastAsia" w:ascii="Times New Roman" w:hAnsi="Times New Roman" w:eastAsia="黑体" w:cs="黑体"/>
        </w:rPr>
        <w:t>三、持续擦亮“宜商槐荫”品牌</w:t>
      </w:r>
      <w:bookmarkEnd w:id="77"/>
    </w:p>
    <w:p w14:paraId="1B172040">
      <w:pPr>
        <w:ind w:firstLine="640"/>
        <w:rPr>
          <w:rFonts w:ascii="Times New Roman" w:hAnsi="Times New Roman"/>
        </w:rPr>
      </w:pPr>
      <w:r>
        <w:rPr>
          <w:rFonts w:hint="eastAsia" w:ascii="Times New Roman" w:hAnsi="Times New Roman"/>
        </w:rPr>
        <w:t>以打造“宜商槐荫”品牌为核心，营造稳定、公平、透明、可预期、有温度的一流营商环境，持续增强经营主体</w:t>
      </w:r>
      <w:r>
        <w:rPr>
          <w:rFonts w:hint="eastAsia" w:ascii="Times New Roman" w:hAnsi="Times New Roman"/>
        </w:rPr>
        <w:t>获得感和发展活力。推进区政务服务大厅集约化建设，深入推进“高效办成一件事”，加快企业准入准营便利化改革，推进惠企政策“直达快享”“免申即享”，推动高频事项跨域通办。加快重点片区营商环境提质创优，对济南国际医学中心片区新技术、新项目等开辟快速审核绿色通道。强化医养之都宜商服务中心、齐鲁之窗宜商服务中心、槐荫经开区宜商服务中心服务功能，打造16个各具特色的街道“宜商名片”，延伸N个基层服务触角，健全打通覆盖全域、协同联动、深入末端的“1+3+16+N”宜商服务脉络。健全规范涉企执法长效机制，推进“无感监管”“无事不扰”。完善涉企诉求分级分类办理机制，提升诉求解决质效。完善境外人员工作生活等便利制度，打造“类海外”环境。</w:t>
      </w:r>
    </w:p>
    <w:p w14:paraId="613D07F2">
      <w:pPr>
        <w:ind w:firstLine="640"/>
        <w:outlineLvl w:val="1"/>
        <w:rPr>
          <w:rFonts w:ascii="Times New Roman" w:hAnsi="Times New Roman" w:eastAsia="黑体" w:cs="黑体"/>
        </w:rPr>
      </w:pPr>
      <w:bookmarkStart w:id="78" w:name="_Toc2834"/>
      <w:r>
        <w:rPr>
          <w:rFonts w:hint="eastAsia" w:ascii="Times New Roman" w:hAnsi="Times New Roman" w:eastAsia="黑体" w:cs="黑体"/>
        </w:rPr>
        <w:t>四、深化财税金融改革</w:t>
      </w:r>
      <w:bookmarkEnd w:id="78"/>
    </w:p>
    <w:p w14:paraId="1D3185E5">
      <w:pPr>
        <w:ind w:firstLine="640"/>
        <w:rPr>
          <w:rFonts w:ascii="Times New Roman" w:hAnsi="Times New Roman"/>
        </w:rPr>
      </w:pPr>
      <w:r>
        <w:rPr>
          <w:rFonts w:hint="eastAsia" w:ascii="Times New Roman" w:hAnsi="Times New Roman"/>
        </w:rPr>
        <w:t>全面落实国家经济调控政策，强化发展规划战略导向作用，促进财税、金融等政策协同发力，持续稳增长、稳就业、稳预期。加强财政科学管理，深化零基预算改革，加强预算绩效管理。提高政府资金资产资源配置效率，强化重大战略、重点领域和民生财力保障。落实个人所得税、消费税、增值税、地方附加税等改革任务。充分发挥市级“6+N”政府引导基金群及区级产业基金引导作用，完善产业投入增长和风险共担机制，促进“基金＋基地”联动发展。完善基金退出管理制度，简化项目退出流程。积极发展科技金融、绿色金融、普惠金融、养老金融、数字金融，提升金融服务实体经济质效。</w:t>
      </w:r>
      <w:bookmarkStart w:id="79" w:name="_Toc20335"/>
    </w:p>
    <w:p w14:paraId="69FF7C45">
      <w:pPr>
        <w:ind w:firstLine="624"/>
        <w:rPr>
          <w:rFonts w:ascii="Times New Roman" w:hAnsi="Times New Roman" w:eastAsia="黑体" w:cs="Times New Roman"/>
          <w:bCs/>
          <w:spacing w:val="-4"/>
          <w:kern w:val="2"/>
          <w:szCs w:val="32"/>
        </w:rPr>
      </w:pPr>
      <w:r>
        <w:rPr>
          <w:rFonts w:hint="eastAsia" w:ascii="Times New Roman" w:hAnsi="Times New Roman" w:eastAsia="黑体" w:cs="Times New Roman"/>
          <w:bCs/>
          <w:spacing w:val="-4"/>
          <w:kern w:val="2"/>
          <w:szCs w:val="32"/>
        </w:rPr>
        <w:t>五、</w:t>
      </w:r>
      <w:r>
        <w:rPr>
          <w:rFonts w:hint="eastAsia" w:ascii="Times New Roman" w:hAnsi="Times New Roman" w:eastAsia="黑体" w:cs="黑体"/>
        </w:rPr>
        <w:t>着力提升开放融通能级</w:t>
      </w:r>
      <w:bookmarkEnd w:id="79"/>
    </w:p>
    <w:p w14:paraId="094F5064">
      <w:pPr>
        <w:overflowPunct/>
        <w:ind w:firstLine="640"/>
        <w:rPr>
          <w:rFonts w:ascii="Times New Roman" w:hAnsi="Times New Roman"/>
        </w:rPr>
      </w:pPr>
      <w:r>
        <w:rPr>
          <w:rFonts w:hint="eastAsia" w:ascii="Times New Roman" w:hAnsi="Times New Roman" w:eastAsia="楷体_GB2312" w:cs="楷体_GB2312"/>
          <w:kern w:val="2"/>
          <w:szCs w:val="32"/>
        </w:rPr>
        <w:t>（一）完善现代化基础设施体系。</w:t>
      </w:r>
      <w:r>
        <w:rPr>
          <w:rFonts w:hint="eastAsia" w:ascii="Times New Roman" w:hAnsi="Times New Roman"/>
        </w:rPr>
        <w:t>统筹推进综合立体交通、现代水网、市政公用设施、新型基础设施等建设。完善城区交通网络格局，推动多网融合增效，强化</w:t>
      </w:r>
      <w:r>
        <w:rPr>
          <w:rFonts w:ascii="Times New Roman" w:hAnsi="Times New Roman"/>
        </w:rPr>
        <w:t>医学中心片区</w:t>
      </w:r>
      <w:r>
        <w:rPr>
          <w:rFonts w:hint="eastAsia" w:ascii="Times New Roman" w:hAnsi="Times New Roman"/>
        </w:rPr>
        <w:t>路网建设</w:t>
      </w:r>
      <w:r>
        <w:rPr>
          <w:rFonts w:ascii="Times New Roman" w:hAnsi="Times New Roman"/>
        </w:rPr>
        <w:t>，着力打通</w:t>
      </w:r>
      <w:r>
        <w:rPr>
          <w:rFonts w:hint="eastAsia" w:ascii="Times New Roman" w:hAnsi="Times New Roman"/>
        </w:rPr>
        <w:t>“断头路”“瓶颈路”</w:t>
      </w:r>
      <w:r>
        <w:rPr>
          <w:rFonts w:ascii="Times New Roman" w:hAnsi="Times New Roman"/>
        </w:rPr>
        <w:t>，</w:t>
      </w:r>
      <w:r>
        <w:rPr>
          <w:rFonts w:hint="eastAsia" w:ascii="Times New Roman" w:hAnsi="Times New Roman"/>
        </w:rPr>
        <w:t>构建多元立体交通网</w:t>
      </w:r>
      <w:r>
        <w:rPr>
          <w:rFonts w:ascii="Times New Roman" w:hAnsi="Times New Roman"/>
        </w:rPr>
        <w:t>。推进交通设施数字化、智能化升级，推动交通感知网络、智能信号控制、智慧停车系统等技术应用，探索智慧交通管理平台建设，提升交通运行监测、调度指挥和应急响应能力。</w:t>
      </w:r>
      <w:r>
        <w:rPr>
          <w:rFonts w:hint="eastAsia" w:ascii="Times New Roman" w:hAnsi="Times New Roman"/>
        </w:rPr>
        <w:t>加快建设现代化水网，</w:t>
      </w:r>
      <w:r>
        <w:rPr>
          <w:rFonts w:ascii="Times New Roman" w:hAnsi="Times New Roman"/>
        </w:rPr>
        <w:t>系统提升水安全保障能力，重点推进骨干行洪通道的综合治理与抢险加固工程，统筹推进城市生命线安全工程建设。完善西部片区排水防涝体系，推进雨水管网建设与提标改造，增强极端天气应对能力。持续提升城乡污水收集处理水平，推动管网全覆盖、全收集、全处理。强化水源统筹与应急保障能力，加强水质监测，保障供水水质安全。推动传统市政水利设施智能化升级，探索智慧水务应用场景，提升基础设施运行韧性</w:t>
      </w:r>
      <w:r>
        <w:rPr>
          <w:rFonts w:hint="eastAsia" w:ascii="Times New Roman" w:hAnsi="Times New Roman"/>
        </w:rPr>
        <w:t>。加力建设新型能源基础设施，因地制宜推进智能微电网和源网荷储一体化试点，鼓励企业参与绿电交易，提高可再生能源消纳水平。加快老旧供热管网改造，提升热网运行效率。推进工业厂房、公共建筑等分布式光伏建设，加快渔光互补、渔光一体等光伏发电项目建设。培育氢能应用示范，推动氢能在交通、物流等领域推广应用。推进“平急两用”公共基础设施建设，配合市级重大医疗应急项目布局，强化区域协同保障。</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1FD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0" w:hRule="atLeast"/>
        </w:trPr>
        <w:tc>
          <w:tcPr>
            <w:tcW w:w="9060" w:type="dxa"/>
          </w:tcPr>
          <w:p w14:paraId="590820D9">
            <w:pPr>
              <w:adjustRightInd/>
              <w:snapToGrid/>
              <w:spacing w:line="480" w:lineRule="exact"/>
              <w:ind w:firstLine="560" w:firstLineChars="0"/>
              <w:jc w:val="center"/>
              <w:rPr>
                <w:rFonts w:ascii="Times New Roman" w:hAnsi="Times New Roman" w:eastAsia="黑体" w:cs="黑体"/>
                <w:sz w:val="28"/>
                <w:szCs w:val="28"/>
              </w:rPr>
            </w:pPr>
            <w:r>
              <w:rPr>
                <w:rFonts w:hint="eastAsia" w:ascii="Times New Roman" w:hAnsi="Times New Roman" w:eastAsia="黑体" w:cs="黑体"/>
                <w:kern w:val="2"/>
                <w:sz w:val="28"/>
                <w:szCs w:val="28"/>
              </w:rPr>
              <w:t>专栏2 基础设施体系重点建设项目</w:t>
            </w:r>
          </w:p>
          <w:p w14:paraId="1D9E329B">
            <w:pPr>
              <w:adjustRightInd/>
              <w:snapToGrid/>
              <w:spacing w:line="480" w:lineRule="exact"/>
              <w:ind w:firstLine="560"/>
              <w:rPr>
                <w:rFonts w:ascii="Times New Roman" w:hAnsi="Times New Roman" w:eastAsia="楷体_GB2312" w:cs="楷体_GB2312"/>
                <w:sz w:val="28"/>
                <w:szCs w:val="28"/>
              </w:rPr>
            </w:pPr>
            <w:r>
              <w:rPr>
                <w:rFonts w:hint="eastAsia" w:ascii="Times New Roman" w:hAnsi="Times New Roman" w:eastAsia="楷体_GB2312" w:cs="楷体_GB2312"/>
                <w:sz w:val="28"/>
                <w:szCs w:val="28"/>
              </w:rPr>
              <w:t>交通基础设施。青岛路西延道路建设工程、淄博路北段道路建设工程、潍坊路北段道路建设工程、美里东路道路建设工程、药山南路延长线道路建设工程、腊山河北路道路建设工程、腊山河西路北延道路建设工程项目、横支17路道路建设工程、南辛庄东街道路改造工程、南辛庄中街道路改造工程、纬九路北延道路建设工程。</w:t>
            </w:r>
          </w:p>
          <w:p w14:paraId="27E11C0B">
            <w:pPr>
              <w:adjustRightInd/>
              <w:snapToGrid/>
              <w:spacing w:line="480" w:lineRule="exact"/>
              <w:ind w:firstLine="560"/>
              <w:rPr>
                <w:rFonts w:ascii="Times New Roman" w:hAnsi="Times New Roman"/>
              </w:rPr>
            </w:pPr>
            <w:r>
              <w:rPr>
                <w:rFonts w:hint="eastAsia" w:ascii="Times New Roman" w:hAnsi="Times New Roman" w:eastAsia="楷体_GB2312" w:cs="楷体_GB2312"/>
                <w:sz w:val="28"/>
                <w:szCs w:val="28"/>
              </w:rPr>
              <w:t>水利治理工程。北太平河北支综合治理工程、北太平河南支综合治理工程、曹家圈虹吸干渠综合治理工程、峨眉沟综合治理工程、峨眉东沟综合治理工程、南大槐树沟河道抢险加固工程、八里桥沟河道抢险加固工程。</w:t>
            </w:r>
          </w:p>
        </w:tc>
      </w:tr>
    </w:tbl>
    <w:p w14:paraId="7BA7A30F">
      <w:pPr>
        <w:adjustRightInd/>
        <w:snapToGrid/>
        <w:ind w:firstLine="640"/>
        <w:rPr>
          <w:rFonts w:ascii="Times New Roman" w:hAnsi="Times New Roman"/>
          <w:kern w:val="2"/>
          <w:szCs w:val="32"/>
        </w:rPr>
      </w:pPr>
      <w:r>
        <w:rPr>
          <w:rFonts w:hint="eastAsia" w:ascii="Times New Roman" w:hAnsi="Times New Roman" w:eastAsia="楷体_GB2312"/>
          <w:kern w:val="2"/>
          <w:szCs w:val="32"/>
        </w:rPr>
        <w:t>（二）深化多层次区域合作。</w:t>
      </w:r>
      <w:r>
        <w:rPr>
          <w:rFonts w:hint="eastAsia" w:ascii="Times New Roman" w:hAnsi="Times New Roman"/>
          <w:kern w:val="2"/>
          <w:szCs w:val="32"/>
        </w:rPr>
        <w:t>进一步发挥“米”字形高铁、高速、轨道交通一体化交通节点优势，深度参与京津冀产业分工协作，大力承接北京科技、金融等非首都功能，大力发展枢纽经济，建强济南西站枢纽经济商务区。深化与黄河流域、长三角、粤港澳大湾区等重点地区战略合作，着力对接和吸引尖端科技、现代金融、高等教育、高端医疗、商务会展等外溢功能，争取更多高能级研发机构及高端制造板块在槐荫落地。加快济南“侨梦苑”建设，建成多元化产业开放平台。高质量开展好东西部协作和对口支援，坚持和落实东西部协作、对口支援等制度，加强产业协作、消费协作和劳务协作，拓展支援新路径。</w:t>
      </w:r>
    </w:p>
    <w:p w14:paraId="69276472">
      <w:pPr>
        <w:adjustRightInd/>
        <w:snapToGrid/>
        <w:ind w:firstLine="640"/>
        <w:rPr>
          <w:rFonts w:ascii="Times New Roman" w:hAnsi="Times New Roman"/>
          <w:kern w:val="2"/>
          <w:szCs w:val="32"/>
        </w:rPr>
      </w:pPr>
      <w:r>
        <w:rPr>
          <w:rFonts w:hint="eastAsia" w:ascii="Times New Roman" w:hAnsi="Times New Roman" w:eastAsia="楷体_GB2312"/>
          <w:kern w:val="2"/>
          <w:szCs w:val="32"/>
        </w:rPr>
        <w:t>（三）积极融入济南青岛都市圈</w:t>
      </w:r>
      <w:r>
        <w:rPr>
          <w:rFonts w:hint="eastAsia" w:ascii="Times New Roman" w:hAnsi="Times New Roman" w:eastAsia="楷体_GB2312"/>
          <w:kern w:val="2"/>
          <w:szCs w:val="32"/>
        </w:rPr>
        <w:t>建设。</w:t>
      </w:r>
      <w:r>
        <w:rPr>
          <w:rFonts w:hint="eastAsia" w:ascii="Times New Roman" w:hAnsi="Times New Roman"/>
          <w:kern w:val="2"/>
          <w:szCs w:val="32"/>
        </w:rPr>
        <w:t>深化产业协同协作，加强人工智能、集成电路、高端数控机床与机器人、专用装备、医养健康、对外贸易等产业规划对接，协同推进在济南青岛都市圈内率先实现健康医疗大数据资源汇集、数据共享、创新应用和创新服务。深化与双圈城市在文化旅游线路的同城化合作，推动实现“吃住行、游购娱”协同发展。发挥辖区科教优势，共建双圈医养人才实训基地，加大护理、康复专业人才培养力度。强化重点项目支撑，争取全区更多大项目、好项目纳入济南都市圈重点项目、济南青岛都市圈联动发展协同开放重点项目“大盘子”。</w:t>
      </w:r>
    </w:p>
    <w:p w14:paraId="27454CD9">
      <w:pPr>
        <w:ind w:firstLine="624"/>
        <w:outlineLvl w:val="1"/>
        <w:rPr>
          <w:rFonts w:ascii="Times New Roman" w:hAnsi="Times New Roman" w:eastAsia="黑体" w:cs="Times New Roman"/>
          <w:bCs/>
          <w:spacing w:val="-4"/>
          <w:kern w:val="2"/>
          <w:szCs w:val="32"/>
        </w:rPr>
      </w:pPr>
      <w:bookmarkStart w:id="80" w:name="_Toc12893"/>
      <w:r>
        <w:rPr>
          <w:rFonts w:hint="eastAsia" w:ascii="Times New Roman" w:hAnsi="Times New Roman" w:eastAsia="黑体" w:cs="Times New Roman"/>
          <w:bCs/>
          <w:spacing w:val="-4"/>
          <w:kern w:val="2"/>
          <w:szCs w:val="32"/>
        </w:rPr>
        <w:t>六、促进外贸外资扩量提质</w:t>
      </w:r>
      <w:bookmarkEnd w:id="80"/>
    </w:p>
    <w:p w14:paraId="28A1D5BC">
      <w:pPr>
        <w:ind w:firstLine="640"/>
        <w:rPr>
          <w:rFonts w:ascii="Times New Roman" w:hAnsi="Times New Roman"/>
          <w:szCs w:val="40"/>
        </w:rPr>
      </w:pPr>
      <w:r>
        <w:rPr>
          <w:rFonts w:hint="eastAsia" w:ascii="Times New Roman" w:hAnsi="Times New Roman" w:eastAsia="楷体_GB2312"/>
        </w:rPr>
        <w:t>（一）</w:t>
      </w:r>
      <w:bookmarkStart w:id="81" w:name="OLE_LINK7"/>
      <w:r>
        <w:rPr>
          <w:rFonts w:hint="eastAsia" w:ascii="Times New Roman" w:hAnsi="Times New Roman" w:eastAsia="楷体_GB2312"/>
        </w:rPr>
        <w:t>着力开拓外贸市场</w:t>
      </w:r>
      <w:bookmarkEnd w:id="81"/>
      <w:r>
        <w:rPr>
          <w:rFonts w:hint="eastAsia" w:ascii="Times New Roman" w:hAnsi="Times New Roman" w:eastAsia="楷体_GB2312"/>
        </w:rPr>
        <w:t>。</w:t>
      </w:r>
      <w:r>
        <w:rPr>
          <w:rFonts w:hint="eastAsia" w:ascii="Times New Roman" w:hAnsi="Times New Roman"/>
          <w:kern w:val="2"/>
          <w:szCs w:val="32"/>
        </w:rPr>
        <w:t>主动对接国际高标准经贸规则，积极培育壮大外贸主体，加快建设保税仓储设施，努力开拓“一带一路”共建国家等双边贸易，拓展绿色发展、数字经济、医养健康等领域合作新空间。打造二手车出口聚集区，完善二手车出口售后服务产业链，扩大二手车出口规模。强化企业境外参展办展支持和出海信息共享，加大出口信贷、出口信用保险、股权投资等金融支持力度，形成多区域、全球化的市场格局。鼓励企业进口国外先进技术、关键设备及零部件，助力产业转型升级。</w:t>
      </w:r>
    </w:p>
    <w:p w14:paraId="639149E9">
      <w:pPr>
        <w:ind w:firstLine="640"/>
        <w:rPr>
          <w:rFonts w:ascii="Times New Roman" w:hAnsi="Times New Roman"/>
          <w:kern w:val="2"/>
          <w:szCs w:val="32"/>
        </w:rPr>
      </w:pPr>
      <w:r>
        <w:rPr>
          <w:rFonts w:hint="eastAsia" w:ascii="Times New Roman" w:hAnsi="Times New Roman" w:eastAsia="楷体_GB2312"/>
        </w:rPr>
        <w:t>（二）拓展对外贸易业态</w:t>
      </w:r>
      <w:r>
        <w:rPr>
          <w:rFonts w:hint="eastAsia" w:ascii="Times New Roman" w:hAnsi="Times New Roman" w:eastAsia="楷体_GB2312"/>
        </w:rPr>
        <w:t>。</w:t>
      </w:r>
      <w:r>
        <w:rPr>
          <w:rFonts w:hint="eastAsia" w:ascii="Times New Roman" w:hAnsi="Times New Roman"/>
          <w:szCs w:val="32"/>
        </w:rPr>
        <w:t>优化升级货物贸易，大力培育跨境电商、服务贸易、数字贸易、中间品贸易、绿色贸易等对外贸易新业态，培育高附加值出口产品，</w:t>
      </w:r>
      <w:r>
        <w:rPr>
          <w:rFonts w:hint="eastAsia" w:ascii="Times New Roman" w:hAnsi="Times New Roman"/>
          <w:kern w:val="2"/>
          <w:szCs w:val="32"/>
        </w:rPr>
        <w:t>引导先进材料、集成电路、专用装备、高端数控机床与机器人等领域企业参与国际竞争。</w:t>
      </w:r>
      <w:r>
        <w:rPr>
          <w:rFonts w:hint="eastAsia" w:ascii="Times New Roman" w:hAnsi="Times New Roman"/>
          <w:szCs w:val="32"/>
        </w:rPr>
        <w:t>积极融入济南市跨境电商综合实验区</w:t>
      </w:r>
      <w:r>
        <w:rPr>
          <w:rFonts w:hint="eastAsia" w:ascii="Times New Roman" w:hAnsi="Times New Roman"/>
          <w:kern w:val="2"/>
          <w:szCs w:val="32"/>
        </w:rPr>
        <w:t>建设，拓宽综合跨境电商服务，加快电商直播基地、电商产业园建设，推动保税云仓落地，招引知名电商企业和平台入驻。优化跨境电商产业布局，积极拓展南美、东南亚等市场。开展外贸企业组团出海行动，加快布局海外仓，打造“济南制造”出海新驿站。加快内外贸一体化融合发展，畅通出口转内销渠道。</w:t>
      </w:r>
    </w:p>
    <w:p w14:paraId="002E6836">
      <w:pPr>
        <w:overflowPunct/>
        <w:adjustRightInd/>
        <w:snapToGrid/>
        <w:ind w:firstLine="640"/>
        <w:rPr>
          <w:rFonts w:ascii="Times New Roman" w:hAnsi="Times New Roman" w:eastAsia="方正小标宋简体" w:cs="Times New Roman"/>
          <w:bCs/>
          <w:spacing w:val="-4"/>
          <w:kern w:val="2"/>
          <w:sz w:val="36"/>
          <w:szCs w:val="36"/>
        </w:rPr>
      </w:pPr>
      <w:r>
        <w:rPr>
          <w:rFonts w:hint="eastAsia" w:ascii="Times New Roman" w:hAnsi="Times New Roman" w:eastAsia="楷体_GB2312"/>
        </w:rPr>
        <w:t>（三）提升双向投资合作空间</w:t>
      </w:r>
      <w:r>
        <w:rPr>
          <w:rFonts w:hint="eastAsia" w:ascii="Times New Roman" w:hAnsi="Times New Roman" w:eastAsia="楷体_GB2312"/>
        </w:rPr>
        <w:t>。</w:t>
      </w:r>
      <w:r>
        <w:rPr>
          <w:rFonts w:hint="eastAsia" w:ascii="Times New Roman" w:hAnsi="Times New Roman" w:eastAsia="仿宋_GB2312"/>
          <w:kern w:val="2"/>
          <w:szCs w:val="32"/>
        </w:rPr>
        <w:t>严格</w:t>
      </w:r>
      <w:r>
        <w:rPr>
          <w:rFonts w:hint="eastAsia" w:ascii="Times New Roman" w:hAnsi="Times New Roman"/>
          <w:kern w:val="2"/>
          <w:szCs w:val="32"/>
        </w:rPr>
        <w:t>落实外商投资法及实施条例，优化利用外资结构，保护外商投资合法权益，健全外商投资服务体系。鼓励存量外资企业通过提升产能、扩建厂房、更新设备等方式增资扩产。</w:t>
      </w:r>
      <w:r>
        <w:rPr>
          <w:rFonts w:hint="eastAsia" w:ascii="Times New Roman" w:hAnsi="Times New Roman"/>
          <w:kern w:val="2"/>
          <w:szCs w:val="32"/>
          <w:lang w:val="en-US" w:eastAsia="zh-CN"/>
        </w:rPr>
        <w:t>持续开展</w:t>
      </w:r>
      <w:r>
        <w:rPr>
          <w:rFonts w:hint="eastAsia" w:ascii="Times New Roman" w:hAnsi="Times New Roman"/>
          <w:kern w:val="2"/>
          <w:szCs w:val="32"/>
        </w:rPr>
        <w:t>招商推介</w:t>
      </w:r>
      <w:r>
        <w:rPr>
          <w:rFonts w:hint="eastAsia" w:ascii="Times New Roman" w:hAnsi="Times New Roman"/>
          <w:kern w:val="2"/>
          <w:szCs w:val="32"/>
          <w:lang w:val="en-US" w:eastAsia="zh-CN"/>
        </w:rPr>
        <w:t>系列</w:t>
      </w:r>
      <w:r>
        <w:rPr>
          <w:rFonts w:hint="eastAsia" w:ascii="Times New Roman" w:hAnsi="Times New Roman"/>
          <w:kern w:val="2"/>
          <w:szCs w:val="32"/>
        </w:rPr>
        <w:t>活动，依托港澳山东周、新加坡山东周等平台专题活动，大力引进高端制造、战略性新兴产业、现代服务等领域外资。优化境外投资综合服务，推动重点产业链、供应链国际产能合作，提升境外投资质量效益。建好用好“走出去”综合服务平台，汇聚投资备案、法律咨询、跨境金融、国别指南等功能，为企业出海提供“一站式”服务。</w:t>
      </w:r>
    </w:p>
    <w:p w14:paraId="0F607D84">
      <w:pPr>
        <w:ind w:firstLine="704"/>
        <w:rPr>
          <w:rFonts w:ascii="Times New Roman" w:hAnsi="Times New Roman" w:eastAsia="方正小标宋简体" w:cs="Times New Roman"/>
          <w:bCs/>
          <w:spacing w:val="-4"/>
          <w:kern w:val="2"/>
          <w:sz w:val="36"/>
          <w:szCs w:val="36"/>
        </w:rPr>
      </w:pPr>
      <w:r>
        <w:rPr>
          <w:rFonts w:hint="eastAsia" w:ascii="Times New Roman" w:hAnsi="Times New Roman" w:eastAsia="方正小标宋简体" w:cs="Times New Roman"/>
          <w:bCs/>
          <w:spacing w:val="-4"/>
          <w:kern w:val="2"/>
          <w:sz w:val="36"/>
          <w:szCs w:val="36"/>
        </w:rPr>
        <w:br w:type="page"/>
      </w:r>
    </w:p>
    <w:bookmarkEnd w:id="73"/>
    <w:p w14:paraId="03BBF6A4">
      <w:pPr>
        <w:adjustRightInd/>
        <w:snapToGrid/>
        <w:spacing w:line="560" w:lineRule="exact"/>
        <w:ind w:firstLine="0" w:firstLineChars="0"/>
        <w:jc w:val="center"/>
        <w:outlineLvl w:val="0"/>
        <w:rPr>
          <w:rFonts w:ascii="Times New Roman" w:hAnsi="Times New Roman" w:eastAsia="方正小标宋简体" w:cs="Times New Roman"/>
          <w:bCs/>
          <w:spacing w:val="-4"/>
          <w:kern w:val="2"/>
          <w:sz w:val="36"/>
          <w:szCs w:val="36"/>
        </w:rPr>
      </w:pPr>
      <w:bookmarkStart w:id="82" w:name="_Toc21873"/>
      <w:r>
        <w:rPr>
          <w:rFonts w:hint="eastAsia" w:ascii="Times New Roman" w:hAnsi="Times New Roman" w:eastAsia="方正小标宋简体" w:cs="Times New Roman"/>
          <w:bCs/>
          <w:spacing w:val="-4"/>
          <w:kern w:val="2"/>
          <w:sz w:val="36"/>
          <w:szCs w:val="36"/>
        </w:rPr>
        <w:t>第六章 推动城市品质能级跃升，建设黄河流域中心城市一流城区</w:t>
      </w:r>
      <w:bookmarkEnd w:id="82"/>
    </w:p>
    <w:p w14:paraId="5CF1B093">
      <w:pPr>
        <w:adjustRightInd/>
        <w:snapToGrid/>
        <w:ind w:firstLine="640"/>
        <w:rPr>
          <w:rFonts w:ascii="Times New Roman" w:hAnsi="Times New Roman" w:cs="Times New Roman"/>
          <w:kern w:val="2"/>
          <w:szCs w:val="32"/>
        </w:rPr>
      </w:pPr>
      <w:bookmarkStart w:id="83" w:name="_Toc19136"/>
    </w:p>
    <w:p w14:paraId="3F0FCFE0">
      <w:pPr>
        <w:ind w:firstLine="640"/>
        <w:rPr>
          <w:rFonts w:ascii="Times New Roman" w:hAnsi="Times New Roman"/>
          <w:kern w:val="2"/>
          <w:szCs w:val="32"/>
        </w:rPr>
      </w:pPr>
      <w:r>
        <w:rPr>
          <w:rFonts w:hint="eastAsia" w:ascii="Times New Roman" w:hAnsi="Times New Roman"/>
          <w:szCs w:val="32"/>
        </w:rPr>
        <w:t>坚决扛牢</w:t>
      </w:r>
      <w:r>
        <w:rPr>
          <w:rFonts w:hint="eastAsia" w:ascii="Times New Roman" w:hAnsi="Times New Roman"/>
          <w:szCs w:val="32"/>
          <w:highlight w:val="yellow"/>
        </w:rPr>
        <w:t>黄河流域生态保护和高质量发展战略</w:t>
      </w:r>
      <w:r>
        <w:rPr>
          <w:rFonts w:hint="eastAsia" w:ascii="Times New Roman" w:hAnsi="Times New Roman"/>
          <w:szCs w:val="32"/>
        </w:rPr>
        <w:t>使命担当，落实强省会战略，推动产城融合，以城市内涵式发展为主线，</w:t>
      </w:r>
      <w:r>
        <w:rPr>
          <w:rFonts w:hint="eastAsia" w:ascii="Times New Roman" w:hAnsi="Times New Roman"/>
          <w:szCs w:val="32"/>
          <w:highlight w:val="yellow"/>
        </w:rPr>
        <w:t>锚定黄河流域重要的中心城市一流城区定位，</w:t>
      </w:r>
      <w:r>
        <w:rPr>
          <w:rFonts w:hint="eastAsia" w:ascii="Times New Roman" w:hAnsi="Times New Roman"/>
          <w:szCs w:val="32"/>
        </w:rPr>
        <w:t>优化区域空间格局，实施城市更新行动，打造美丽乡村升级版，建设创新、宜居、美丽、韧性、文明、智慧的现代化城区。</w:t>
      </w:r>
    </w:p>
    <w:bookmarkEnd w:id="83"/>
    <w:p w14:paraId="5CA69393">
      <w:pPr>
        <w:tabs>
          <w:tab w:val="right" w:leader="dot" w:pos="8777"/>
          <w:tab w:val="right" w:leader="dot" w:pos="9060"/>
        </w:tabs>
        <w:ind w:firstLine="640"/>
        <w:outlineLvl w:val="1"/>
        <w:rPr>
          <w:rFonts w:ascii="Times New Roman" w:hAnsi="Times New Roman" w:eastAsia="黑体" w:cs="Times New Roman"/>
          <w:kern w:val="2"/>
          <w:szCs w:val="32"/>
        </w:rPr>
      </w:pPr>
      <w:bookmarkStart w:id="84" w:name="_Toc13518"/>
      <w:r>
        <w:rPr>
          <w:rFonts w:ascii="Times New Roman" w:hAnsi="Times New Roman" w:eastAsia="黑体" w:cs="Times New Roman"/>
          <w:kern w:val="2"/>
          <w:szCs w:val="32"/>
        </w:rPr>
        <w:t>一、</w:t>
      </w:r>
      <w:r>
        <w:rPr>
          <w:rFonts w:hint="eastAsia" w:ascii="Times New Roman" w:hAnsi="Times New Roman" w:eastAsia="黑体" w:cs="Times New Roman"/>
          <w:kern w:val="2"/>
          <w:szCs w:val="32"/>
        </w:rPr>
        <w:t>优化核心片区发展格局</w:t>
      </w:r>
      <w:bookmarkEnd w:id="84"/>
    </w:p>
    <w:p w14:paraId="7D784803">
      <w:pPr>
        <w:ind w:firstLine="640"/>
        <w:rPr>
          <w:rFonts w:ascii="Times New Roman" w:hAnsi="Times New Roman" w:cs="Times New Roman"/>
          <w:kern w:val="2"/>
          <w:szCs w:val="32"/>
        </w:rPr>
      </w:pPr>
      <w:r>
        <w:rPr>
          <w:rFonts w:hint="eastAsia" w:ascii="Times New Roman" w:hAnsi="Times New Roman" w:eastAsia="楷体_GB2312" w:cs="Times New Roman"/>
          <w:kern w:val="2"/>
          <w:szCs w:val="32"/>
        </w:rPr>
        <w:t>（一）举全区之力支持服务保障济南国际医学中心。</w:t>
      </w:r>
      <w:r>
        <w:rPr>
          <w:rFonts w:hint="eastAsia" w:ascii="Times New Roman" w:hAnsi="Times New Roman"/>
        </w:rPr>
        <w:t>锚定“高端化、特色化、国际化”目标定位，科学动态调整现有规划，加快产业导入和项目招引，大力发展高端医疗服务、高端医疗器械、新一代生物技术、数字医疗主导产业，前瞻布局脑机接口、细胞与基因治疗、AI医疗特色产业；启动康养板块策划建设，构建康复保健、体卫融合、健康生活体验等多元化融合消费场景；深化与韩国、新加坡</w:t>
      </w:r>
      <w:r>
        <w:rPr>
          <w:rFonts w:hint="eastAsia" w:ascii="Times New Roman" w:hAnsi="Times New Roman"/>
        </w:rPr>
        <w:t>等在口腔、医美、运动健康、肿瘤、干细胞等领域交流合作，推动济南国际医学中心医疗健康产业开放合作；持续推动产城融合，加快道路、管网、通信、绿化等市政基础设施建设，招引落地一批符合片区人才需求的购物商超、品质住宅、人才公寓、星级酒店等配套项目，为高端产业集聚和人才引进提供支撑。协助济南国际医学中心片区产生的新技术、新产品、新服务在驻区医疗机构、社区卫生服务中心、街道社区打造应用场景、示范基地。研究出台支持济南国际医学中心片区产业高质量发展的政策措施。</w:t>
      </w:r>
      <w:r>
        <w:rPr>
          <w:rFonts w:hint="eastAsia" w:ascii="Times New Roman" w:hAnsi="Times New Roman" w:cs="Times New Roman"/>
          <w:kern w:val="2"/>
          <w:szCs w:val="32"/>
        </w:rPr>
        <w:t>到2030年人口规模达到*万人，集聚医疗健康企业达到*家以上，养老服务机构达到20家以上。</w:t>
      </w:r>
    </w:p>
    <w:p w14:paraId="0A6FA496">
      <w:pPr>
        <w:ind w:firstLine="640"/>
        <w:rPr>
          <w:rFonts w:ascii="Times New Roman" w:hAnsi="Times New Roman" w:eastAsia="楷体_GB2312" w:cs="Times New Roman"/>
          <w:kern w:val="2"/>
          <w:szCs w:val="32"/>
        </w:rPr>
      </w:pPr>
      <w:r>
        <w:rPr>
          <w:rFonts w:hint="eastAsia" w:ascii="Times New Roman" w:hAnsi="Times New Roman" w:eastAsia="楷体_GB2312" w:cs="Times New Roman"/>
          <w:kern w:val="2"/>
          <w:szCs w:val="32"/>
        </w:rPr>
        <w:t>（二）支持济南槐荫经济开发区聚焦主业、重塑优势。</w:t>
      </w:r>
      <w:r>
        <w:rPr>
          <w:rFonts w:hint="eastAsia" w:ascii="Times New Roman" w:hAnsi="Times New Roman" w:cs="Times New Roman"/>
          <w:kern w:val="2"/>
          <w:szCs w:val="32"/>
        </w:rPr>
        <w:t>坚持“高端化、智能化、集群化”目标定位，巩固提升高端数控机床、智能家电、专用装备等产业，引进培育集成电路、机器人、具身智能、低空经济等产业，推进先进材料智造港、宽禁带生产设备制造产业园、通用智能机器人产业园等产业项目建设，做实做强做优实体经济，打造全国一流的先进制造业基地。推动人、地、财等关键要素向开发区汇聚，增强开发区综合承载能力，着力提高“亩均效益”，更好地发挥经济增长主阵地、主战场、主引擎作用。</w:t>
      </w:r>
    </w:p>
    <w:p w14:paraId="7809CDF4">
      <w:pPr>
        <w:ind w:firstLine="640"/>
        <w:rPr>
          <w:rFonts w:ascii="Times New Roman" w:hAnsi="Times New Roman" w:cs="Times New Roman"/>
          <w:kern w:val="2"/>
          <w:szCs w:val="32"/>
        </w:rPr>
      </w:pPr>
      <w:r>
        <w:rPr>
          <w:rFonts w:hint="eastAsia" w:ascii="Times New Roman" w:hAnsi="Times New Roman" w:eastAsia="楷体_GB2312" w:cs="Times New Roman"/>
          <w:kern w:val="2"/>
          <w:szCs w:val="32"/>
        </w:rPr>
        <w:t>（三）全力做强做优济南西站枢纽经济商务区。</w:t>
      </w:r>
      <w:r>
        <w:rPr>
          <w:rFonts w:hint="eastAsia" w:ascii="Times New Roman" w:hAnsi="Times New Roman" w:cs="Times New Roman"/>
          <w:kern w:val="2"/>
          <w:szCs w:val="32"/>
        </w:rPr>
        <w:t>瞄准“大窗口、大交通、大文旅、大会展、大商务”五大功能定位，建好用好京沪会客厅，搭建京沪创新资源要素转化平台、黄河流域新质生产力承载平台，招引集聚一批高水平科研机构、高科技企业和高层次人才，大力发展现代生产性服务业、总部经济、生命科学、数字智能、旅居康养等产业，加快培育发展新质生产力，打造</w:t>
      </w:r>
      <w:r>
        <w:rPr>
          <w:rFonts w:hint="eastAsia" w:ascii="Times New Roman" w:hAnsi="Times New Roman" w:cs="Times New Roman"/>
          <w:kern w:val="2"/>
          <w:szCs w:val="32"/>
        </w:rPr>
        <w:t>枢纽经济示范区</w:t>
      </w:r>
      <w:r>
        <w:rPr>
          <w:rFonts w:hint="eastAsia" w:ascii="Times New Roman" w:hAnsi="Times New Roman" w:cs="Times New Roman"/>
          <w:kern w:val="2"/>
          <w:szCs w:val="32"/>
        </w:rPr>
        <w:t>。大力推进中央文化区建设，依托“一院四馆”等现代化文化设施，积极承接申办具有国际国内影响力的演出、赛事、论坛、特展，提质升级周边大型商业综合体和商业街区，打造集“市民文化艺术空间＋全龄段消费＋文旅体验”于一体的文化新坐标。</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969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auto" w:sz="4" w:space="0"/>
              <w:left w:val="single" w:color="auto" w:sz="4" w:space="0"/>
              <w:bottom w:val="single" w:color="auto" w:sz="4" w:space="0"/>
              <w:right w:val="single" w:color="auto" w:sz="4" w:space="0"/>
              <w:tl2br w:val="nil"/>
              <w:tr2bl w:val="nil"/>
            </w:tcBorders>
          </w:tcPr>
          <w:p w14:paraId="2B2F0413">
            <w:pPr>
              <w:spacing w:line="460" w:lineRule="exact"/>
              <w:ind w:firstLine="0" w:firstLineChars="0"/>
              <w:jc w:val="center"/>
              <w:rPr>
                <w:rFonts w:ascii="Times New Roman" w:hAnsi="Times New Roman" w:eastAsia="黑体" w:cs="黑体"/>
                <w:sz w:val="28"/>
                <w:szCs w:val="28"/>
              </w:rPr>
            </w:pPr>
            <w:r>
              <w:rPr>
                <w:rFonts w:hint="eastAsia" w:ascii="Times New Roman" w:hAnsi="Times New Roman" w:eastAsia="黑体" w:cs="黑体"/>
                <w:kern w:val="2"/>
                <w:sz w:val="28"/>
                <w:szCs w:val="28"/>
              </w:rPr>
              <w:t>专栏3  京沪会客厅“两窗口、两中心”建设内容</w:t>
            </w:r>
          </w:p>
          <w:p w14:paraId="45BC1F40">
            <w:pPr>
              <w:adjustRightInd/>
              <w:snapToGrid/>
              <w:spacing w:line="460" w:lineRule="exact"/>
              <w:ind w:firstLine="560"/>
              <w:rPr>
                <w:rFonts w:hint="eastAsia" w:ascii="Times New Roman" w:hAnsi="Times New Roman" w:eastAsia="楷体_GB2312" w:cs="楷体_GB2312"/>
                <w:sz w:val="28"/>
                <w:szCs w:val="28"/>
              </w:rPr>
            </w:pPr>
            <w:r>
              <w:rPr>
                <w:rFonts w:hint="eastAsia" w:ascii="Times New Roman" w:hAnsi="Times New Roman" w:eastAsia="楷体_GB2312" w:cs="楷体_GB2312"/>
                <w:sz w:val="28"/>
                <w:szCs w:val="28"/>
              </w:rPr>
              <w:t>1.“两窗口”。</w:t>
            </w:r>
            <w:r>
              <w:rPr>
                <w:rFonts w:hint="eastAsia" w:ascii="Times New Roman" w:hAnsi="Times New Roman" w:eastAsia="楷体_GB2312" w:cs="楷体_GB2312"/>
                <w:sz w:val="28"/>
                <w:szCs w:val="28"/>
                <w:lang w:val="en-US" w:eastAsia="zh-CN"/>
              </w:rPr>
              <w:t>即</w:t>
            </w:r>
            <w:r>
              <w:rPr>
                <w:rFonts w:hint="eastAsia" w:ascii="Times New Roman" w:hAnsi="Times New Roman" w:eastAsia="楷体_GB2312" w:cs="楷体_GB2312"/>
                <w:sz w:val="28"/>
                <w:szCs w:val="28"/>
              </w:rPr>
              <w:t>加强政企联合，打造“双招双引”平台—京沪会客厅；搭建</w:t>
            </w:r>
            <w:r>
              <w:rPr>
                <w:rFonts w:hint="eastAsia" w:ascii="Times New Roman" w:hAnsi="Times New Roman" w:eastAsia="楷体_GB2312" w:cs="楷体_GB2312"/>
                <w:sz w:val="28"/>
                <w:szCs w:val="28"/>
              </w:rPr>
              <w:t>互动交流、创新创业、文化生活等功能的综合服务平台，满足青年多元化需求，</w:t>
            </w:r>
            <w:r>
              <w:rPr>
                <w:rFonts w:hint="eastAsia" w:ascii="Times New Roman" w:hAnsi="Times New Roman" w:eastAsia="楷体_GB2312" w:cs="楷体_GB2312"/>
                <w:sz w:val="28"/>
                <w:szCs w:val="28"/>
                <w:lang w:val="en-US" w:eastAsia="zh-CN"/>
              </w:rPr>
              <w:t>打造</w:t>
            </w:r>
            <w:r>
              <w:rPr>
                <w:rFonts w:hint="eastAsia" w:ascii="Times New Roman" w:hAnsi="Times New Roman" w:eastAsia="楷体_GB2312" w:cs="楷体_GB2312"/>
                <w:sz w:val="28"/>
                <w:szCs w:val="28"/>
              </w:rPr>
              <w:t>青年会客厅。</w:t>
            </w:r>
          </w:p>
          <w:p w14:paraId="5D07A5A0">
            <w:pPr>
              <w:adjustRightInd/>
              <w:snapToGrid/>
              <w:spacing w:line="460" w:lineRule="exact"/>
              <w:ind w:firstLine="560"/>
              <w:rPr>
                <w:rFonts w:ascii="Times New Roman" w:hAnsi="Times New Roman" w:eastAsia="宋体" w:cs="Times New Roman"/>
                <w:kern w:val="2"/>
                <w:szCs w:val="24"/>
              </w:rPr>
            </w:pPr>
            <w:r>
              <w:rPr>
                <w:rFonts w:hint="eastAsia" w:ascii="Times New Roman" w:hAnsi="Times New Roman" w:eastAsia="楷体_GB2312" w:cs="楷体_GB2312"/>
                <w:sz w:val="28"/>
                <w:szCs w:val="28"/>
              </w:rPr>
              <w:t>2.“两中心”。一是宜商服务中心，是由槐荫区行政审批服务局与十余个政府部门共建打造，为企业提供超过600项多样化服务24小时不间断服务；二是青年发展中心，是由团省、市、区委联合打造，为槐荫培育人才，为年轻人提供了实现自身价值的机会。</w:t>
            </w:r>
          </w:p>
        </w:tc>
      </w:tr>
    </w:tbl>
    <w:p w14:paraId="3DE91909">
      <w:pPr>
        <w:tabs>
          <w:tab w:val="right" w:leader="dot" w:pos="8777"/>
          <w:tab w:val="right" w:leader="dot" w:pos="9060"/>
        </w:tabs>
        <w:adjustRightInd/>
        <w:snapToGrid/>
        <w:ind w:firstLine="640"/>
        <w:outlineLvl w:val="1"/>
        <w:rPr>
          <w:rFonts w:ascii="Times New Roman" w:hAnsi="Times New Roman" w:eastAsia="黑体" w:cs="Times New Roman"/>
          <w:kern w:val="2"/>
          <w:szCs w:val="32"/>
        </w:rPr>
      </w:pPr>
      <w:bookmarkStart w:id="85" w:name="_Toc30814"/>
      <w:r>
        <w:rPr>
          <w:rFonts w:ascii="Times New Roman" w:hAnsi="Times New Roman" w:eastAsia="黑体" w:cs="Times New Roman"/>
          <w:kern w:val="2"/>
          <w:szCs w:val="32"/>
        </w:rPr>
        <w:t>二、</w:t>
      </w:r>
      <w:r>
        <w:rPr>
          <w:rFonts w:hint="eastAsia" w:ascii="Times New Roman" w:hAnsi="Times New Roman" w:eastAsia="黑体" w:cs="黑体"/>
        </w:rPr>
        <w:t>高标准实施城市更新</w:t>
      </w:r>
      <w:bookmarkEnd w:id="85"/>
    </w:p>
    <w:p w14:paraId="327240EB">
      <w:pPr>
        <w:ind w:firstLine="640"/>
        <w:rPr>
          <w:rFonts w:ascii="Times New Roman" w:hAnsi="Times New Roman"/>
        </w:rPr>
      </w:pPr>
      <w:r>
        <w:rPr>
          <w:rFonts w:hint="eastAsia" w:ascii="Times New Roman" w:hAnsi="Times New Roman" w:cs="Times New Roman"/>
          <w:kern w:val="2"/>
          <w:szCs w:val="32"/>
        </w:rPr>
        <w:t>健全多元化投融资方式，探索可持续的更新模式，因地制宜改造产业空间、完善提升居住空间、做优高品质公共空间、精心打造文化空间，统筹推进城中村、老旧小区、老旧街区、老旧厂房、老旧市场建设改造。开展完整社区建设，推动适老化、适儿化改造，推进社区嵌入式服务设施建设。强化城市风貌管理，加快推动轨道交通市立五院综合体、省立医院南地块等一批城市更新项目。重点围绕百年商埠历史文化区加大更新力度，因地制宜实施商埠区“微更新”“复古微改造”，引进文化创意、特色餐饮、客栈民宿、展览推介、精品店铺、休闲体验等业态，实现历史风貌、现代界面、产业业态、生活品质有机统一。将人民群众对美好生活的向往深度融入城市规划建设管理全过程，坚持“先体检、后更新”“无体检、不更新”，系统推进“好房子、好小区、好社区、好城区”四好建设。大力发展高品质住宅，推广绿色建筑、装配式建筑和智能建造，因地制宜发展第四代住宅，前瞻性谋划住宅产品迭代更新</w:t>
      </w:r>
      <w:r>
        <w:rPr>
          <w:rFonts w:hint="eastAsia" w:ascii="Times New Roman" w:hAnsi="Times New Roman"/>
        </w:rPr>
        <w: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D34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4313842">
            <w:pPr>
              <w:spacing w:line="460" w:lineRule="exact"/>
              <w:ind w:firstLine="0" w:firstLineChars="0"/>
              <w:jc w:val="center"/>
              <w:rPr>
                <w:rFonts w:ascii="Times New Roman" w:hAnsi="Times New Roman" w:eastAsia="黑体" w:cs="黑体"/>
                <w:sz w:val="28"/>
                <w:szCs w:val="28"/>
              </w:rPr>
            </w:pPr>
            <w:r>
              <w:rPr>
                <w:rFonts w:hint="eastAsia" w:ascii="Times New Roman" w:hAnsi="Times New Roman" w:eastAsia="黑体" w:cs="黑体"/>
                <w:kern w:val="2"/>
                <w:sz w:val="28"/>
                <w:szCs w:val="28"/>
              </w:rPr>
              <w:t>专栏4  城市更新重点项目</w:t>
            </w:r>
          </w:p>
          <w:p w14:paraId="4F48215B">
            <w:pPr>
              <w:adjustRightInd/>
              <w:snapToGrid/>
              <w:spacing w:line="480" w:lineRule="exact"/>
              <w:ind w:firstLine="560"/>
              <w:rPr>
                <w:rFonts w:ascii="Times New Roman" w:hAnsi="Times New Roman" w:eastAsia="楷体_GB2312" w:cs="楷体_GB2312"/>
              </w:rPr>
            </w:pPr>
            <w:r>
              <w:rPr>
                <w:rFonts w:hint="eastAsia" w:ascii="Times New Roman" w:hAnsi="Times New Roman" w:eastAsia="楷体_GB2312" w:cs="楷体_GB2312"/>
                <w:sz w:val="28"/>
                <w:szCs w:val="28"/>
              </w:rPr>
              <w:t>东吴家堡、南吴家堡、南沙王庄三村整合城中村改造项目，张庄村、刘庄村城中村改造项目安置房三期工程，济南国际医学科学中心安置六区城中村改造项目、市立五院周边片区城市更新项目二期，轨道交通市立五院综合体、省立医院南地块城市更新项目、经一纬十二、经十纬七东北地块（国大太阳都市广场二期）等项目。</w:t>
            </w:r>
          </w:p>
        </w:tc>
      </w:tr>
    </w:tbl>
    <w:p w14:paraId="7FD3AE21">
      <w:pPr>
        <w:ind w:firstLine="640"/>
        <w:outlineLvl w:val="1"/>
        <w:rPr>
          <w:rFonts w:ascii="Times New Roman" w:hAnsi="Times New Roman" w:eastAsia="黑体" w:cs="黑体"/>
        </w:rPr>
      </w:pPr>
      <w:bookmarkStart w:id="86" w:name="_Toc5734"/>
      <w:r>
        <w:rPr>
          <w:rFonts w:hint="eastAsia" w:ascii="Times New Roman" w:hAnsi="Times New Roman" w:eastAsia="黑体" w:cs="黑体"/>
        </w:rPr>
        <w:t>三、打造美丽乡村升级版</w:t>
      </w:r>
      <w:bookmarkEnd w:id="86"/>
    </w:p>
    <w:p w14:paraId="76CC2FE8">
      <w:pPr>
        <w:overflowPunct/>
        <w:adjustRightInd/>
        <w:snapToGrid/>
        <w:ind w:firstLine="640"/>
        <w:rPr>
          <w:rFonts w:ascii="Times New Roman" w:hAnsi="Times New Roman"/>
        </w:rPr>
      </w:pPr>
      <w:r>
        <w:rPr>
          <w:rFonts w:hint="eastAsia" w:ascii="Times New Roman" w:hAnsi="Times New Roman" w:eastAsia="楷体_GB2312"/>
        </w:rPr>
        <w:t>（一）提升农业发展质量效益。</w:t>
      </w:r>
      <w:r>
        <w:rPr>
          <w:rFonts w:hint="eastAsia" w:ascii="Times New Roman" w:hAnsi="Times New Roman"/>
        </w:rPr>
        <w:t>严守耕地红线，坚决遏制耕地“非农化”，防止耕地“非粮化”，有序推进撂荒地整治。推进高标准农田建设与高效管护，加强盐碱地综合利用，提高耕地质量。实施“泉城良田”数字化工程，稳定水稻等主要粮食作物种植面积，确保粮食总产量稳中有升。深入实施种业振兴行动，开展水稻良种选育、繁育技术研究等，夯实“济香”系列水稻新品种品牌支撑。加强种质资源产学研合作，开展小麦种子繁育、多用途百合种植、北方淡水鱼种苗繁育等良种培育示范项目，找准、攻关种业“卡脖子”核心技术，打造一批自主创新技术。坚持农林牧渔并举，壮大“槐荫四宝”农产品矩阵，大力发展特色花卉、农产品采摘、绿色食品加工、亲子研学、康养旅居、林下露营等产业，加快推进赛石玫瑰园、大稻里、渔夫咖啡、渔光互补等项目建设，做强富农强村硬支撑。到2030年培育市级以上农业产业化龙头企业25家以上。</w:t>
      </w:r>
    </w:p>
    <w:p w14:paraId="1256C44E">
      <w:pPr>
        <w:overflowPunct/>
        <w:adjustRightInd/>
        <w:snapToGrid/>
        <w:ind w:firstLine="640"/>
        <w:rPr>
          <w:rFonts w:ascii="Times New Roman" w:hAnsi="Times New Roman"/>
        </w:rPr>
      </w:pPr>
      <w:r>
        <w:rPr>
          <w:rFonts w:hint="eastAsia" w:ascii="Times New Roman" w:hAnsi="Times New Roman" w:eastAsia="楷体_GB2312"/>
        </w:rPr>
        <w:t>（二）加强美丽乡村建设。</w:t>
      </w:r>
      <w:r>
        <w:rPr>
          <w:rFonts w:hint="eastAsia" w:ascii="Times New Roman" w:hAnsi="Times New Roman"/>
        </w:rPr>
        <w:t>充分利用好区位优势、田园风光、优美环境等资源，以“河创田园”泉韵乡居乡村振兴齐鲁样板示范区为引领，统筹推进“东西两线”泉韵乡居示范区创建，指导美里湖争创“杏邻河畔 乡遇美里”泉韵乡居示范区，支持玉清湖“一带两线六园”、腊山“两带一区一基地”等特色融合产业项目建设，打造沿黄“七星九美十三香”乡村振兴示范带。深化农村人居环境整治，持续推进村庄清洁行动和乡村绿化美化工程，提升农村改厕管护质效。开展艺术乡村建设，用艺术方式挖掘、重塑、提升乡村文化、生态、产业环境，创新农文旅业态。推进全域土地综合整治，以街道为实施单元开展全域土地综合整治，优化农村生产、生活、生态空间布局，加快村庄建设用地整理，对零散、破碎、插花地块实施统一整治，形成更多连片可集约利用的地块。</w:t>
      </w:r>
    </w:p>
    <w:p w14:paraId="25B5A2E7">
      <w:pPr>
        <w:overflowPunct/>
        <w:adjustRightInd/>
        <w:snapToGrid/>
        <w:ind w:firstLine="640"/>
        <w:rPr>
          <w:rFonts w:ascii="Times New Roman" w:hAnsi="Times New Roman"/>
        </w:rPr>
      </w:pPr>
      <w:r>
        <w:rPr>
          <w:rFonts w:hint="eastAsia" w:ascii="Times New Roman" w:hAnsi="Times New Roman" w:eastAsia="楷体_GB2312"/>
        </w:rPr>
        <w:t>（三）促进城乡融合发展。</w:t>
      </w:r>
      <w:r>
        <w:rPr>
          <w:rFonts w:hint="eastAsia" w:ascii="Times New Roman" w:hAnsi="Times New Roman"/>
        </w:rPr>
        <w:t>坚持城乡一盘棋，以体制机制创新为抓手，推动要素流动、服务均等、设施联通、产业协同，构建城乡融合发展新格局。落实强农惠农富农支持政策，健全乡村振兴多元投入机制，培育壮大新型农村集体经济。推进农村“三变”改革，深化农村产权制度改革，推动集体经济组织规范化发展。完善区级农村产权交易平台，促进资源要素规范流转。深化农村土地制度改革，加强宅基地管理，用好点状供地等政策，促进产业融合发展。推进公共服务均等化，推动教育、医疗、养老、文化等资源向农村延伸。优化城乡教育资源配置，推进集团化办学和教师轮岗。完善区乡村三级医疗卫生服务体系，健全农村急救转运网络。发展村级互助养老和普惠托育服务，提升“一站式”便民服务。严格落实各项帮扶机制，完善防返贫动态监测体系，推动巩固拓展脱贫攻坚成果同乡村振兴有效衔接。</w:t>
      </w:r>
    </w:p>
    <w:p w14:paraId="44374518">
      <w:pPr>
        <w:ind w:firstLine="0" w:firstLineChars="0"/>
        <w:jc w:val="center"/>
        <w:outlineLvl w:val="0"/>
        <w:rPr>
          <w:rFonts w:ascii="Times New Roman" w:hAnsi="Times New Roman" w:eastAsia="方正小标宋简体" w:cs="Times New Roman"/>
          <w:bCs/>
          <w:spacing w:val="-4"/>
          <w:kern w:val="2"/>
          <w:sz w:val="36"/>
          <w:szCs w:val="36"/>
        </w:rPr>
      </w:pPr>
      <w:bookmarkStart w:id="87" w:name="_Toc25871"/>
      <w:r>
        <w:rPr>
          <w:rFonts w:ascii="Times New Roman" w:hAnsi="Times New Roman" w:eastAsia="方正小标宋简体" w:cs="Times New Roman"/>
          <w:b/>
          <w:bCs/>
          <w:kern w:val="2"/>
          <w:sz w:val="36"/>
          <w:szCs w:val="36"/>
        </w:rPr>
        <w:br w:type="page"/>
      </w:r>
      <w:bookmarkStart w:id="88" w:name="_Toc6420"/>
      <w:r>
        <w:rPr>
          <w:rFonts w:hint="eastAsia" w:ascii="Times New Roman" w:hAnsi="Times New Roman" w:eastAsia="方正小标宋简体" w:cs="Times New Roman"/>
          <w:kern w:val="2"/>
          <w:sz w:val="36"/>
          <w:szCs w:val="36"/>
        </w:rPr>
        <w:t xml:space="preserve">第七章 </w:t>
      </w:r>
      <w:r>
        <w:rPr>
          <w:rFonts w:hint="eastAsia" w:ascii="Times New Roman" w:hAnsi="Times New Roman" w:eastAsia="方正小标宋简体" w:cs="Times New Roman"/>
          <w:bCs/>
          <w:spacing w:val="-4"/>
          <w:kern w:val="2"/>
          <w:sz w:val="36"/>
          <w:szCs w:val="36"/>
        </w:rPr>
        <w:t>推动绿色低碳转型，绘就美丽槐荫新画卷</w:t>
      </w:r>
      <w:bookmarkEnd w:id="88"/>
    </w:p>
    <w:p w14:paraId="17628702">
      <w:pPr>
        <w:adjustRightInd/>
        <w:snapToGrid/>
        <w:ind w:firstLine="640"/>
        <w:rPr>
          <w:rFonts w:ascii="Times New Roman" w:hAnsi="Times New Roman"/>
        </w:rPr>
      </w:pPr>
    </w:p>
    <w:p w14:paraId="39E210AC">
      <w:pPr>
        <w:ind w:firstLine="640"/>
        <w:rPr>
          <w:rFonts w:ascii="Times New Roman" w:hAnsi="Times New Roman"/>
        </w:rPr>
      </w:pPr>
      <w:r>
        <w:rPr>
          <w:rFonts w:hint="eastAsia" w:ascii="Times New Roman" w:hAnsi="Times New Roman"/>
        </w:rPr>
        <w:t>牢固树立和践行绿水青山就是金山银山的理念，以碳达峰碳中和为牵引，以推动经济社会发展全面绿色转型为主线，协同推进降碳、减污、扩绿、增长，筑牢生态安全屏障，建设人与自然和谐共生的生态宜居示范区。</w:t>
      </w:r>
    </w:p>
    <w:p w14:paraId="30A6721F">
      <w:pPr>
        <w:pStyle w:val="3"/>
        <w:ind w:firstLine="640"/>
        <w:rPr>
          <w:rFonts w:ascii="Times New Roman" w:hAnsi="Times New Roman" w:eastAsia="黑体" w:cs="黑体"/>
        </w:rPr>
      </w:pPr>
      <w:bookmarkStart w:id="89" w:name="_Toc30185"/>
      <w:r>
        <w:rPr>
          <w:rFonts w:hint="eastAsia" w:ascii="Times New Roman" w:hAnsi="Times New Roman" w:eastAsia="黑体" w:cs="黑体"/>
        </w:rPr>
        <w:t>一、加强生态保护和修复</w:t>
      </w:r>
      <w:bookmarkEnd w:id="89"/>
    </w:p>
    <w:p w14:paraId="7C74EEB8">
      <w:pPr>
        <w:overflowPunct/>
        <w:ind w:firstLine="640"/>
        <w:rPr>
          <w:rFonts w:ascii="Times New Roman" w:hAnsi="Times New Roman"/>
        </w:rPr>
      </w:pPr>
      <w:r>
        <w:rPr>
          <w:rFonts w:hint="eastAsia" w:ascii="Times New Roman" w:hAnsi="Times New Roman" w:eastAsia="楷体_GB2312"/>
        </w:rPr>
        <w:t>（一）筑牢高质量发展的生态屏障。</w:t>
      </w:r>
      <w:r>
        <w:rPr>
          <w:rFonts w:hint="eastAsia" w:ascii="Times New Roman" w:hAnsi="Times New Roman"/>
        </w:rPr>
        <w:t>纵深推进</w:t>
      </w:r>
      <w:r>
        <w:rPr>
          <w:rFonts w:hint="eastAsia" w:ascii="Times New Roman" w:hAnsi="Times New Roman"/>
        </w:rPr>
        <w:t>黄河流域生态保护和高质量发展战略</w:t>
      </w:r>
      <w:r>
        <w:rPr>
          <w:rFonts w:hint="eastAsia" w:ascii="Times New Roman" w:hAnsi="Times New Roman"/>
        </w:rPr>
        <w:t>，坚持生态优先、量水而行、绿色发展，推进黄河滩区、蓄滞洪区综合提升治理，加强沿黄生态廊道保护建设，实施济西国家湿地公园、美里湖湿地公园、小清河、玉符河等重点区域生态保护和修复工程，强化对野生动物栖息地及原生植物、公益林和天然林保护力度。严格落实“四水四定”，实施深度节水控水行动，持续推进农业节水增效、工业节水减排、城区节水减损，促进水资源节约集约高效利用。</w:t>
      </w:r>
    </w:p>
    <w:p w14:paraId="2CF6F26B">
      <w:pPr>
        <w:overflowPunct/>
        <w:ind w:firstLine="640"/>
        <w:rPr>
          <w:rFonts w:ascii="Times New Roman" w:hAnsi="Times New Roman"/>
        </w:rPr>
      </w:pPr>
      <w:r>
        <w:rPr>
          <w:rFonts w:hint="eastAsia" w:ascii="Times New Roman" w:hAnsi="Times New Roman" w:eastAsia="楷体_GB2312"/>
        </w:rPr>
        <w:t>（二）优化国土空间开发保护格局。</w:t>
      </w:r>
      <w:bookmarkStart w:id="90" w:name="_Hlk216121745"/>
      <w:r>
        <w:rPr>
          <w:rFonts w:hint="eastAsia" w:ascii="Times New Roman" w:hAnsi="Times New Roman"/>
        </w:rPr>
        <w:t>全面落实主体功能区战略，充分衔接国土空间规划和用途管制，落实生态环境分区管控，强化准入清单管理。坚持现状耕地“应保尽保、应划尽划”，确保可长期稳定利用耕地总量不减少。严格管控城镇开发边界，严控京沪高铁沿线开发强度，推动城乡空间内涵式集约化绿色发展。严格保护重要生态空间，重视山体形貌维护、植被修复养护、水系岸线防护，守住自然生态安全边界。</w:t>
      </w:r>
      <w:bookmarkEnd w:id="90"/>
    </w:p>
    <w:p w14:paraId="18BECA2A">
      <w:pPr>
        <w:overflowPunct/>
        <w:ind w:firstLine="640"/>
        <w:rPr>
          <w:rFonts w:ascii="Times New Roman" w:hAnsi="Times New Roman"/>
        </w:rPr>
      </w:pPr>
      <w:r>
        <w:rPr>
          <w:rFonts w:hint="eastAsia" w:ascii="Times New Roman" w:hAnsi="Times New Roman" w:eastAsia="楷体_GB2312"/>
        </w:rPr>
        <w:t>（三）持续厚植生态本底。</w:t>
      </w:r>
      <w:r>
        <w:rPr>
          <w:rFonts w:hint="eastAsia" w:ascii="Times New Roman" w:hAnsi="Times New Roman"/>
        </w:rPr>
        <w:t>坚持生态优先、科学造林，重点实施腊山、匡山、丁字山等山体公园绿化及生态治理工程，提升林地质量和生态功能。加强森林资源保护管理，健全有害生物监测防治体系，严格落实古树名木保护措施，强化园林抢险救灾能力建设</w:t>
      </w:r>
      <w:r>
        <w:rPr>
          <w:rFonts w:hint="eastAsia" w:ascii="Times New Roman" w:hAnsi="Times New Roman"/>
          <w:kern w:val="2"/>
          <w:szCs w:val="24"/>
        </w:rPr>
        <w:t>。</w:t>
      </w:r>
      <w:r>
        <w:rPr>
          <w:rFonts w:hint="eastAsia" w:ascii="Times New Roman" w:hAnsi="Times New Roman"/>
        </w:rPr>
        <w:t>构建多层次公园游憩体系，</w:t>
      </w:r>
      <w:bookmarkStart w:id="91" w:name="_Hlk216122109"/>
      <w:bookmarkStart w:id="92" w:name="_Hlk216121985"/>
      <w:r>
        <w:rPr>
          <w:rFonts w:hint="eastAsia" w:ascii="Times New Roman" w:hAnsi="Times New Roman"/>
          <w:kern w:val="2"/>
          <w:szCs w:val="24"/>
        </w:rPr>
        <w:t>加快三级绿道网建设，</w:t>
      </w:r>
      <w:bookmarkEnd w:id="91"/>
      <w:r>
        <w:rPr>
          <w:rFonts w:hint="eastAsia" w:ascii="Times New Roman" w:hAnsi="Times New Roman"/>
          <w:kern w:val="2"/>
          <w:szCs w:val="24"/>
        </w:rPr>
        <w:t>因地制宜建设城市公园、街头游园、口袋公园，挖掘槐荫文化内涵打造特色景观。</w:t>
      </w:r>
      <w:bookmarkEnd w:id="92"/>
      <w:r>
        <w:rPr>
          <w:rFonts w:hint="eastAsia" w:ascii="Times New Roman" w:hAnsi="Times New Roman"/>
          <w:kern w:val="2"/>
          <w:szCs w:val="24"/>
        </w:rPr>
        <w:t>运用“园林+”模式叠加多元业态，常态化开展花化美化，推行社会化养护与精细化管养，构建“开门见绿、抬脚可入”的绿化网络，塑造全域花园场景。</w:t>
      </w:r>
    </w:p>
    <w:p w14:paraId="6A5E782F">
      <w:pPr>
        <w:ind w:firstLine="640"/>
        <w:outlineLvl w:val="1"/>
        <w:rPr>
          <w:rFonts w:ascii="Times New Roman" w:hAnsi="Times New Roman" w:eastAsia="黑体" w:cs="黑体"/>
        </w:rPr>
      </w:pPr>
      <w:bookmarkStart w:id="93" w:name="_Toc32568"/>
      <w:r>
        <w:rPr>
          <w:rFonts w:hint="eastAsia" w:ascii="Times New Roman" w:hAnsi="Times New Roman" w:eastAsia="黑体" w:cs="黑体"/>
        </w:rPr>
        <w:t>二、深化污染综合防治</w:t>
      </w:r>
      <w:bookmarkEnd w:id="93"/>
    </w:p>
    <w:p w14:paraId="4535957D">
      <w:pPr>
        <w:overflowPunct/>
        <w:ind w:firstLine="640"/>
        <w:rPr>
          <w:rFonts w:ascii="Times New Roman" w:hAnsi="Times New Roman"/>
        </w:rPr>
      </w:pPr>
      <w:r>
        <w:rPr>
          <w:rFonts w:hint="eastAsia" w:ascii="Times New Roman" w:hAnsi="Times New Roman" w:eastAsia="楷体_GB2312"/>
        </w:rPr>
        <w:t>（一）推进大气污染防治。</w:t>
      </w:r>
      <w:r>
        <w:rPr>
          <w:rFonts w:hint="eastAsia" w:ascii="Times New Roman" w:hAnsi="Times New Roman"/>
        </w:rPr>
        <w:t>坚持精准治污、科学治污、依法治污，深化工业污染治理，推动大气污染物排放总量持续削减，确保环境空气质量稳定改善。持续推进石化、有机化工、表面涂装、包装印刷行业及油品储运销企业开展VOCs综合治理，通过安装高效收集装置、采用先进净化技术等方式减少排放。实施重点行业企业环保绩效提级行动，全面推动工业涂装企业采用低挥发性涂料，铸造企业优化熔炼工艺，商砼企业加强料场封闭管理，其他重点行业企业对照提级标准改造升级，以高标准推动空气质量持续向好。</w:t>
      </w:r>
    </w:p>
    <w:p w14:paraId="33B4C443">
      <w:pPr>
        <w:overflowPunct/>
        <w:ind w:firstLine="640"/>
        <w:rPr>
          <w:rFonts w:hint="eastAsia"/>
        </w:rPr>
      </w:pPr>
      <w:r>
        <w:rPr>
          <w:rFonts w:hint="eastAsia" w:ascii="Times New Roman" w:hAnsi="Times New Roman" w:eastAsia="楷体_GB2312"/>
        </w:rPr>
        <w:t>（二）提升水环境质量。</w:t>
      </w:r>
      <w:r>
        <w:rPr>
          <w:rFonts w:hint="eastAsia" w:ascii="Times New Roman" w:hAnsi="Times New Roman"/>
        </w:rPr>
        <w:t>强化饮用水水源地生态环境保护，推进城市排水管网建设，实施德州路—南北三号路市政污水干管工程和城区污水管线延伸工程，完善污水收集处理体系，提升城乡污水收集处理能力。加强农村生产生活污水防治，控制农业面源污染，有序推进农村黑臭水体治理。严格控制地下水开采，全面实行地下水取水总量和水位控制，持续开展“一企一库”“两场两区”地下水环境状况调查评估工作。完善美丽河湖长效管理机制，持续推进河湖生态环境治理改善。</w:t>
      </w:r>
    </w:p>
    <w:p w14:paraId="38DA0EBD">
      <w:pPr>
        <w:overflowPunct/>
        <w:ind w:firstLine="640"/>
        <w:rPr>
          <w:rFonts w:ascii="Times New Roman" w:hAnsi="Times New Roman"/>
        </w:rPr>
      </w:pPr>
      <w:r>
        <w:rPr>
          <w:rFonts w:hint="eastAsia" w:ascii="Times New Roman" w:hAnsi="Times New Roman" w:eastAsia="楷体_GB2312"/>
        </w:rPr>
        <w:t>（三）严守土壤环境安全底线。</w:t>
      </w:r>
      <w:r>
        <w:rPr>
          <w:rFonts w:hint="eastAsia" w:ascii="Times New Roman" w:hAnsi="Times New Roman"/>
        </w:rPr>
        <w:t>实施土壤环境全生命周期管理制度，推进土壤污染风险防控和修复。强化重点建设用地土壤调查和评审，加强土壤污染重点单位源头预防，确保重点建设用地安全利用得到有效保障。严格控制重金属行业污染物排放，动态更新土壤污染重点监管单位名录，督促土壤污染重点监管单位落实土壤污染隐患排查、自行监测、严格控制有毒有害物质排放等制度。加强对安全利用类耕地的监督管理，持续推进受污染耕地安全利用。</w:t>
      </w:r>
    </w:p>
    <w:p w14:paraId="20743EAE">
      <w:pPr>
        <w:overflowPunct/>
        <w:ind w:firstLine="640"/>
        <w:rPr>
          <w:rFonts w:ascii="Times New Roman" w:hAnsi="Times New Roman"/>
        </w:rPr>
      </w:pPr>
      <w:r>
        <w:rPr>
          <w:rFonts w:hint="eastAsia" w:ascii="Times New Roman" w:hAnsi="Times New Roman" w:eastAsia="楷体_GB2312"/>
        </w:rPr>
        <w:t>（四）加强固体废物和新污染物治理。</w:t>
      </w:r>
      <w:r>
        <w:rPr>
          <w:rFonts w:hint="eastAsia" w:ascii="Times New Roman" w:hAnsi="Times New Roman"/>
        </w:rPr>
        <w:t>加强环境风险防控，加大固体废物治理力度，加强危险废物全流程监管，推动固废资源化利用，深化“无废城市”建设。加强新污染物治理，持续开展化学物质环境信息统计调查，增强新污染物治理能力。推动企业开展清洁生产改造，优先采用低毒低害原辅材料，从生产环节减少新污染物生成。</w:t>
      </w:r>
    </w:p>
    <w:p w14:paraId="269560C5">
      <w:pPr>
        <w:pStyle w:val="3"/>
        <w:ind w:firstLine="640"/>
        <w:rPr>
          <w:rFonts w:ascii="Times New Roman" w:hAnsi="Times New Roman" w:eastAsia="黑体" w:cs="黑体"/>
        </w:rPr>
      </w:pPr>
      <w:bookmarkStart w:id="94" w:name="_Toc22675"/>
      <w:r>
        <w:rPr>
          <w:rFonts w:hint="eastAsia" w:ascii="Times New Roman" w:hAnsi="Times New Roman" w:eastAsia="黑体" w:cs="黑体"/>
        </w:rPr>
        <w:t>三、积极稳妥推进和实现碳达峰</w:t>
      </w:r>
      <w:bookmarkEnd w:id="94"/>
    </w:p>
    <w:p w14:paraId="4BAE2AF3">
      <w:pPr>
        <w:numPr>
          <w:ilvl w:val="0"/>
          <w:numId w:val="2"/>
        </w:numPr>
        <w:overflowPunct/>
        <w:ind w:firstLine="640"/>
        <w:rPr>
          <w:rFonts w:ascii="Times New Roman" w:hAnsi="Times New Roman"/>
        </w:rPr>
      </w:pPr>
      <w:r>
        <w:rPr>
          <w:rFonts w:hint="eastAsia" w:ascii="宋体" w:hAnsi="宋体" w:eastAsia="楷体_GB2312" w:cs="楷体_GB2312"/>
          <w:szCs w:val="32"/>
        </w:rPr>
        <w:t>健全碳排放治理体系</w:t>
      </w:r>
      <w:r>
        <w:rPr>
          <w:rFonts w:hint="eastAsia" w:ascii="Times New Roman" w:hAnsi="Times New Roman" w:eastAsia="楷体_GB2312"/>
        </w:rPr>
        <w:t>。</w:t>
      </w:r>
      <w:r>
        <w:rPr>
          <w:rFonts w:hint="eastAsia" w:ascii="Times New Roman" w:hAnsi="Times New Roman"/>
        </w:rPr>
        <w:t>实施碳排放总量和强度双控制度，稳步实施地方碳考核、行业碳管控、企业碳管理、项目碳评价、产品碳足迹等制度，提高碳排放管控能力。</w:t>
      </w:r>
      <w:bookmarkStart w:id="95" w:name="_Hlk216119886"/>
      <w:r>
        <w:rPr>
          <w:rFonts w:hint="eastAsia" w:ascii="Times New Roman" w:hAnsi="Times New Roman"/>
        </w:rPr>
        <w:t>推进各类园区低碳化改造，培育建设国家级、省级零碳工厂、园区。</w:t>
      </w:r>
      <w:bookmarkEnd w:id="95"/>
      <w:r>
        <w:rPr>
          <w:rFonts w:hint="eastAsia" w:ascii="Times New Roman" w:hAnsi="Times New Roman"/>
        </w:rPr>
        <w:t>加快构建绿色制造体系，培育绿色工厂、绿色园区和绿色供应链管理企业。强化重点行业碳排放管控，实施分级分类管理，确保碳排放强度持续下降。</w:t>
      </w:r>
    </w:p>
    <w:p w14:paraId="73B28DC2">
      <w:pPr>
        <w:numPr>
          <w:ilvl w:val="0"/>
          <w:numId w:val="2"/>
        </w:numPr>
        <w:overflowPunct/>
        <w:ind w:firstLine="640"/>
        <w:rPr>
          <w:rFonts w:hint="eastAsia" w:ascii="Times New Roman" w:hAnsi="Times New Roman"/>
        </w:rPr>
      </w:pPr>
      <w:r>
        <w:rPr>
          <w:rFonts w:hint="eastAsia" w:ascii="Times New Roman" w:hAnsi="Times New Roman" w:eastAsia="楷体_GB2312"/>
        </w:rPr>
        <w:t>加快形成绿色生产生活方式。</w:t>
      </w:r>
      <w:bookmarkStart w:id="96" w:name="_Hlk216120157"/>
      <w:r>
        <w:rPr>
          <w:rFonts w:hint="eastAsia" w:ascii="Times New Roman" w:hAnsi="Times New Roman"/>
        </w:rPr>
        <w:t>落实促进绿色低碳发展政策，推进工业、城乡建设、交通运输、能源等重点领域绿色低碳转型，大力发展绿色低碳产业。</w:t>
      </w:r>
      <w:bookmarkEnd w:id="96"/>
      <w:r>
        <w:rPr>
          <w:rFonts w:hint="eastAsia" w:ascii="Times New Roman" w:hAnsi="Times New Roman"/>
        </w:rPr>
        <w:t>开展传统产业绿色低碳焕新行动，实施能效碳效、工业节能诊断，推动重大技术改造升级和大规模设备更新工程，提升重点产品能效、碳效水平。推进城乡建设绿色低碳发展，</w:t>
      </w:r>
      <w:bookmarkStart w:id="97" w:name="_Hlk216120183"/>
      <w:r>
        <w:rPr>
          <w:rFonts w:hint="eastAsia" w:ascii="Times New Roman" w:hAnsi="Times New Roman"/>
        </w:rPr>
        <w:t>大力推进绿色建筑发展，新建民用建筑严格执行绿色建筑标准，鼓励建设星级绿色建筑与超低能耗建筑，实施既有建筑节能改造，提高可再生能源在建筑中的应用比例。构建绿色高效交通运输体系，加快新能源车辆推广使用，建设智慧高效的充换电基础设施，构建绿色出行网络。</w:t>
      </w:r>
      <w:bookmarkEnd w:id="97"/>
      <w:r>
        <w:rPr>
          <w:rFonts w:hint="eastAsia" w:ascii="Times New Roman" w:hAnsi="Times New Roman"/>
        </w:rPr>
        <w:t>持续增强绿色能源供应保障能力，深化供需双侧发力推动能源生产消费方式加快转型。深入开展绿色低碳全民行动，提高垃圾分类和资源化利用水平，持续扩大绿色产品供给规模，健全绿色消费激励机制</w:t>
      </w:r>
      <w:r>
        <w:rPr>
          <w:rFonts w:hint="eastAsia" w:ascii="Times New Roman" w:hAnsi="Times New Roman"/>
          <w:lang w:eastAsia="zh-CN"/>
        </w:rPr>
        <w:t>。</w:t>
      </w:r>
      <w:r>
        <w:rPr>
          <w:rFonts w:hint="eastAsia" w:ascii="Times New Roman" w:hAnsi="Times New Roman"/>
        </w:rPr>
        <w:t>鼓励公共机构采用能源费用托管服务，推进公共机构绿色低碳转型。</w:t>
      </w:r>
    </w:p>
    <w:p w14:paraId="23F53162">
      <w:pPr>
        <w:overflowPunct/>
        <w:ind w:firstLine="640"/>
        <w:rPr>
          <w:rFonts w:ascii="Times New Roman" w:hAnsi="Times New Roman"/>
        </w:rPr>
      </w:pPr>
      <w:r>
        <w:rPr>
          <w:rFonts w:hint="eastAsia" w:ascii="Times New Roman" w:hAnsi="Times New Roman" w:eastAsia="楷体_GB2312"/>
        </w:rPr>
        <w:t>（三）大力发展循环经济。</w:t>
      </w:r>
      <w:r>
        <w:rPr>
          <w:rFonts w:hint="eastAsia" w:ascii="Times New Roman" w:hAnsi="Times New Roman"/>
        </w:rPr>
        <w:t>以济南槐荫经济开发区为重点，深化园区循环式发展，围绕资源产出率与循环利用率提升，促使企业内部、企业间及产业间物料形成闭路循环，实现固体废物的高效循环利用，深化能量梯级利用与水资源循环利用，推动余热、废水、废气废液的资源化。鼓励企业开展清洁生产，围绕物质循环利用和能源梯级利用，构建企业内部循环产业链，引导企业建链补链，形成全产业链循环体系，特别针对建材、电力等行业，培育跨产业的循环经济工业产业，</w:t>
      </w:r>
      <w:bookmarkStart w:id="98" w:name="_Hlk216120930"/>
      <w:r>
        <w:rPr>
          <w:rFonts w:hint="eastAsia" w:ascii="Times New Roman" w:hAnsi="Times New Roman"/>
        </w:rPr>
        <w:t>推动再生资源精深加工。</w:t>
      </w:r>
      <w:bookmarkEnd w:id="98"/>
      <w:bookmarkStart w:id="99" w:name="_Hlk216120966"/>
      <w:r>
        <w:rPr>
          <w:rFonts w:hint="eastAsia" w:ascii="Times New Roman" w:hAnsi="Times New Roman"/>
        </w:rPr>
        <w:t>发展生态循环农业，鼓励“三品一标”认证，推广水肥一体化、测土配方施肥等技术，推进农药化肥减量增效，</w:t>
      </w:r>
      <w:bookmarkEnd w:id="99"/>
      <w:r>
        <w:rPr>
          <w:rFonts w:hint="eastAsia" w:ascii="Times New Roman" w:hAnsi="Times New Roman"/>
        </w:rPr>
        <w:t>提高秸秆和粪污综合利用水平，确保畜禽粪污处理设施装备配套率达标，完善农膜和农药包装废弃物回收体系。</w:t>
      </w:r>
    </w:p>
    <w:bookmarkEnd w:id="87"/>
    <w:p w14:paraId="10743148">
      <w:pPr>
        <w:ind w:firstLine="640"/>
        <w:rPr>
          <w:rFonts w:ascii="Times New Roman" w:hAnsi="Times New Roman"/>
        </w:rPr>
      </w:pPr>
      <w:bookmarkStart w:id="100" w:name="_Toc9917"/>
      <w:r>
        <w:rPr>
          <w:rFonts w:ascii="Times New Roman" w:hAnsi="Times New Roman"/>
        </w:rPr>
        <w:br w:type="page"/>
      </w:r>
    </w:p>
    <w:p w14:paraId="54933EDE">
      <w:pPr>
        <w:adjustRightInd/>
        <w:snapToGrid/>
        <w:spacing w:line="560" w:lineRule="exact"/>
        <w:ind w:firstLine="0" w:firstLineChars="0"/>
        <w:jc w:val="center"/>
        <w:outlineLvl w:val="0"/>
        <w:rPr>
          <w:rFonts w:ascii="Times New Roman" w:hAnsi="Times New Roman" w:eastAsia="方正小标宋简体" w:cs="Times New Roman"/>
          <w:bCs/>
          <w:spacing w:val="-4"/>
          <w:kern w:val="2"/>
          <w:sz w:val="36"/>
          <w:szCs w:val="36"/>
        </w:rPr>
      </w:pPr>
      <w:bookmarkStart w:id="101" w:name="_Toc11930"/>
      <w:r>
        <w:rPr>
          <w:rFonts w:hint="eastAsia" w:ascii="Times New Roman" w:hAnsi="Times New Roman" w:eastAsia="方正小标宋简体" w:cs="Times New Roman"/>
          <w:bCs/>
          <w:spacing w:val="-4"/>
          <w:kern w:val="2"/>
          <w:sz w:val="36"/>
          <w:szCs w:val="36"/>
        </w:rPr>
        <w:t xml:space="preserve">第八章 </w:t>
      </w:r>
      <w:bookmarkEnd w:id="100"/>
      <w:r>
        <w:rPr>
          <w:rFonts w:hint="eastAsia" w:ascii="Times New Roman" w:hAnsi="Times New Roman" w:eastAsia="方正小标宋简体" w:cs="Times New Roman"/>
          <w:bCs/>
          <w:spacing w:val="-4"/>
          <w:kern w:val="2"/>
          <w:sz w:val="36"/>
          <w:szCs w:val="36"/>
        </w:rPr>
        <w:t>聚焦传承保护发展，高质量推进文化强区建设</w:t>
      </w:r>
      <w:bookmarkEnd w:id="101"/>
    </w:p>
    <w:p w14:paraId="2FDFAED4">
      <w:pPr>
        <w:ind w:firstLine="640"/>
        <w:rPr>
          <w:rFonts w:ascii="Times New Roman" w:hAnsi="Times New Roman"/>
        </w:rPr>
      </w:pPr>
    </w:p>
    <w:p w14:paraId="3342CF3C">
      <w:pPr>
        <w:ind w:firstLine="640"/>
        <w:rPr>
          <w:rFonts w:ascii="Times New Roman" w:hAnsi="Times New Roman"/>
        </w:rPr>
      </w:pPr>
      <w:bookmarkStart w:id="102" w:name="_Toc9167"/>
      <w:r>
        <w:rPr>
          <w:rFonts w:hint="eastAsia" w:ascii="Times New Roman" w:hAnsi="Times New Roman"/>
        </w:rPr>
        <w:t>突出文化领航，高水平打造济南中央文化区</w:t>
      </w:r>
      <w:r>
        <w:rPr>
          <w:rFonts w:hint="eastAsia" w:ascii="Times New Roman" w:hAnsi="Times New Roman"/>
        </w:rPr>
        <w:t>，推动中华优秀传统文化创造性转化、创新性发展，提升城市软实力，为新时代社会主义现代化强区建设植入高品质“文化内核”。</w:t>
      </w:r>
    </w:p>
    <w:p w14:paraId="251510EF">
      <w:pPr>
        <w:tabs>
          <w:tab w:val="right" w:leader="dot" w:pos="8777"/>
          <w:tab w:val="right" w:leader="dot" w:pos="9060"/>
        </w:tabs>
        <w:ind w:firstLine="640"/>
        <w:outlineLvl w:val="1"/>
        <w:rPr>
          <w:rFonts w:ascii="Times New Roman" w:hAnsi="Times New Roman" w:eastAsia="黑体" w:cs="Times New Roman"/>
          <w:kern w:val="2"/>
          <w:szCs w:val="32"/>
        </w:rPr>
      </w:pPr>
      <w:bookmarkStart w:id="103" w:name="_Toc107"/>
      <w:r>
        <w:rPr>
          <w:rFonts w:ascii="Times New Roman" w:hAnsi="Times New Roman" w:eastAsia="黑体" w:cs="Times New Roman"/>
          <w:kern w:val="2"/>
          <w:szCs w:val="32"/>
        </w:rPr>
        <w:t>一、</w:t>
      </w:r>
      <w:bookmarkEnd w:id="102"/>
      <w:r>
        <w:rPr>
          <w:rFonts w:hint="eastAsia" w:ascii="Times New Roman" w:hAnsi="Times New Roman" w:eastAsia="黑体" w:cs="Times New Roman"/>
          <w:kern w:val="2"/>
          <w:szCs w:val="32"/>
        </w:rPr>
        <w:t>弘扬和践行社会主义核心价值观</w:t>
      </w:r>
      <w:bookmarkEnd w:id="103"/>
    </w:p>
    <w:p w14:paraId="34375606">
      <w:pPr>
        <w:ind w:firstLine="640"/>
        <w:rPr>
          <w:rFonts w:ascii="Times New Roman" w:hAnsi="Times New Roman" w:cs="楷体_GB2312"/>
          <w:szCs w:val="32"/>
        </w:rPr>
      </w:pPr>
      <w:r>
        <w:rPr>
          <w:rFonts w:hint="eastAsia" w:ascii="Times New Roman" w:hAnsi="Times New Roman" w:cs="Times New Roman"/>
        </w:rPr>
        <w:t>深化党的创新理论学习和宣传教育，坚持不懈用习近平新时代中国特色社会主义思想凝心铸魂。以社会主义核心价值观引领文化建设，发挥文化养心志、育情操的作用，为城乡社会增正气增活力。依托“理响满槐”宣讲品牌，完善“1+14+16+N”理论宣讲工作体系，推动党的创新理论精准直达。深化社会主义核心价值观融入法治建设、融入社会发展、融入日常生活，凝聚全党全社会价值共识。依托辖区红色资源与爱国主义教育基地，广泛开展主题鲜明、形式多样的爱国主义教育和全民国防教育活动。精心组织“槐荫好人”“槐荫时代榜样”选树宣传，引导人民群众树立正确的历史观、民族观、国家观、文化观。加强和改进思想政治工作，</w:t>
      </w:r>
      <w:r>
        <w:rPr>
          <w:rFonts w:ascii="Times New Roman" w:hAnsi="Times New Roman" w:cs="楷体_GB2312"/>
          <w:szCs w:val="32"/>
        </w:rPr>
        <w:t>推进校园文化品牌建设，加强</w:t>
      </w:r>
      <w:r>
        <w:rPr>
          <w:rFonts w:hint="eastAsia" w:ascii="Times New Roman" w:hAnsi="Times New Roman" w:cs="楷体_GB2312"/>
          <w:szCs w:val="32"/>
        </w:rPr>
        <w:t>青少年理想信念教育。传承中华传统美德，加强社会公德、职业道德、家庭美德、个人品德建设，弘扬诚信文化、廉洁文化。加强网络内容建设和管理，提升信息化条件下文化领域治理能力。</w:t>
      </w:r>
      <w:r>
        <w:rPr>
          <w:rFonts w:ascii="Times New Roman" w:hAnsi="Times New Roman" w:cs="楷体_GB2312"/>
          <w:szCs w:val="32"/>
        </w:rPr>
        <w:t>统筹推进城乡精神文明建设，实施文明创建提质扩面工程，创新文明培育、文明实践、文明创建载体，擦亮</w:t>
      </w:r>
      <w:r>
        <w:rPr>
          <w:rFonts w:hint="eastAsia" w:ascii="Times New Roman" w:hAnsi="Times New Roman" w:cs="楷体_GB2312"/>
          <w:szCs w:val="32"/>
        </w:rPr>
        <w:t>“美美予槐”精神文明建设</w:t>
      </w:r>
      <w:r>
        <w:rPr>
          <w:rFonts w:ascii="Times New Roman" w:hAnsi="Times New Roman" w:cs="楷体_GB2312"/>
          <w:szCs w:val="32"/>
        </w:rPr>
        <w:t>品牌</w:t>
      </w:r>
      <w:r>
        <w:rPr>
          <w:rFonts w:hint="eastAsia" w:ascii="Times New Roman" w:hAnsi="Times New Roman" w:cs="楷体_GB2312"/>
          <w:szCs w:val="32"/>
        </w:rPr>
        <w:t>，</w:t>
      </w:r>
      <w:r>
        <w:rPr>
          <w:rFonts w:ascii="Times New Roman" w:hAnsi="Times New Roman" w:cs="楷体_GB2312"/>
          <w:szCs w:val="32"/>
        </w:rPr>
        <w:t>培育文明乡风、良好家风、淳朴民风。</w:t>
      </w:r>
    </w:p>
    <w:p w14:paraId="49EBFCAB">
      <w:pPr>
        <w:tabs>
          <w:tab w:val="right" w:leader="dot" w:pos="8777"/>
          <w:tab w:val="right" w:leader="dot" w:pos="9060"/>
        </w:tabs>
        <w:ind w:firstLine="640"/>
        <w:outlineLvl w:val="1"/>
        <w:rPr>
          <w:rFonts w:ascii="Times New Roman" w:hAnsi="Times New Roman" w:eastAsia="黑体" w:cs="Times New Roman"/>
          <w:kern w:val="2"/>
          <w:szCs w:val="32"/>
        </w:rPr>
      </w:pPr>
      <w:bookmarkStart w:id="104" w:name="_Toc14197"/>
      <w:bookmarkStart w:id="105" w:name="_Toc24761"/>
      <w:r>
        <w:rPr>
          <w:rFonts w:ascii="Times New Roman" w:hAnsi="Times New Roman" w:eastAsia="黑体" w:cs="Times New Roman"/>
          <w:kern w:val="2"/>
          <w:szCs w:val="32"/>
        </w:rPr>
        <w:t>二、</w:t>
      </w:r>
      <w:bookmarkEnd w:id="104"/>
      <w:r>
        <w:rPr>
          <w:rFonts w:hint="eastAsia" w:ascii="Times New Roman" w:hAnsi="Times New Roman" w:eastAsia="黑体" w:cs="Times New Roman"/>
          <w:kern w:val="2"/>
          <w:szCs w:val="32"/>
        </w:rPr>
        <w:t>繁荣发展文化事业</w:t>
      </w:r>
      <w:bookmarkEnd w:id="105"/>
    </w:p>
    <w:p w14:paraId="7D4919D0">
      <w:pPr>
        <w:widowControl/>
        <w:overflowPunct/>
        <w:ind w:firstLine="620"/>
        <w:rPr>
          <w:rFonts w:ascii="Times New Roman" w:hAnsi="Times New Roman"/>
        </w:rPr>
      </w:pPr>
      <w:r>
        <w:rPr>
          <w:rFonts w:hint="eastAsia" w:ascii="Times New Roman" w:hAnsi="Times New Roman"/>
          <w:color w:val="000000"/>
          <w:sz w:val="31"/>
          <w:szCs w:val="31"/>
          <w:lang w:bidi="ar"/>
        </w:rPr>
        <w:t>创新城乡公共文化服务供给模式，推进公共文化均等化、标准化、品质化发展，丰富文艺演出、阅读推广、展览展示等文化产品供给。实施公共文化服务提质增效行动，构建“15分钟公共文化服务圈”。广泛开展群众性文化活动，繁荣互联网条件下新大众文艺，建设书香社会。深化文化体制机制改革，健全社会力量参与公共文化服务机制，推进公共文化设施所有权和使用权分置改革。进一步完善地名公共服务体系，深化平安边界建设活动，开展乡村著名行动，加强地名文化宣传。以活化利用为导向推进文化遗产保护，加强历史文化街区、古村落、红色旧址等有效保护和活态传承，丰富“槐漾非遗”品牌内涵，推动非遗、文旅业态深度融合；以文物建筑为载体，加强文物保护和活化利用，传承历史文化，让文物“活起来”。深耕博物馆备案及打造，推动展陈创新，塑造彰显文化内涵与时代特色的公共文化空间。</w:t>
      </w:r>
      <w:r>
        <w:rPr>
          <w:rFonts w:hint="eastAsia" w:ascii="Times New Roman" w:hAnsi="Times New Roman"/>
        </w:rPr>
        <w:t>着力打造一批惠民文体基础设施，加快槐苑文化体育公园项目建设，构建“儿童健康＋银发经济＋青年双创”活力生态圈，打造全龄友好场景。</w:t>
      </w:r>
    </w:p>
    <w:p w14:paraId="78703DC4">
      <w:pPr>
        <w:tabs>
          <w:tab w:val="right" w:leader="dot" w:pos="8777"/>
          <w:tab w:val="right" w:leader="dot" w:pos="9060"/>
        </w:tabs>
        <w:ind w:firstLine="640"/>
        <w:outlineLvl w:val="1"/>
        <w:rPr>
          <w:rFonts w:ascii="Times New Roman" w:hAnsi="Times New Roman" w:eastAsia="黑体" w:cs="Times New Roman"/>
          <w:kern w:val="2"/>
          <w:szCs w:val="32"/>
        </w:rPr>
      </w:pPr>
      <w:bookmarkStart w:id="106" w:name="_Toc2624"/>
      <w:bookmarkStart w:id="107" w:name="_Toc15548"/>
      <w:r>
        <w:rPr>
          <w:rFonts w:ascii="Times New Roman" w:hAnsi="Times New Roman" w:eastAsia="黑体" w:cs="Times New Roman"/>
          <w:kern w:val="2"/>
          <w:szCs w:val="32"/>
        </w:rPr>
        <w:t>三、</w:t>
      </w:r>
      <w:r>
        <w:rPr>
          <w:rFonts w:hint="eastAsia" w:ascii="Times New Roman" w:hAnsi="Times New Roman" w:eastAsia="黑体" w:cs="Times New Roman"/>
          <w:kern w:val="2"/>
          <w:szCs w:val="32"/>
        </w:rPr>
        <w:t>发展壮大文化产业</w:t>
      </w:r>
      <w:bookmarkEnd w:id="106"/>
    </w:p>
    <w:p w14:paraId="04FE7620">
      <w:pPr>
        <w:overflowPunct/>
        <w:ind w:firstLine="640"/>
        <w:rPr>
          <w:rFonts w:ascii="Times New Roman" w:hAnsi="Times New Roman" w:cstheme="minorBidi"/>
          <w:kern w:val="2"/>
          <w:szCs w:val="32"/>
        </w:rPr>
      </w:pPr>
      <w:r>
        <w:rPr>
          <w:rFonts w:hint="eastAsia" w:ascii="Times New Roman" w:hAnsi="Times New Roman" w:cstheme="minorBidi"/>
          <w:kern w:val="2"/>
          <w:szCs w:val="32"/>
        </w:rPr>
        <w:t>实施重大文化产业项目带动战略，改造提升传统文化产业，壮大创意设计、广播影视、数字新媒体、文化消费产品制造等优势产业规模，培育一批优秀文化企业和品牌。推动文化和科技融合，培育数字动漫等新型文化业态。利用数字技术塑造区内非遗品牌、文创品牌，打造数字新IP，丰富衍生内容产品。推动文化批零企业整合资源、做大规模，拓展“文化＋物流”产业模式，培育打造知名文化贸易综合服务商。推进中央文化区建设，大力承接具有国际国内高端影响力的演出、赛事、论坛、特展落地，规划打造一批文化产业示范园区（基地）、网络视听产业园区等特色文化产业园区。</w:t>
      </w:r>
    </w:p>
    <w:p w14:paraId="31066F16">
      <w:pPr>
        <w:tabs>
          <w:tab w:val="right" w:leader="dot" w:pos="8777"/>
          <w:tab w:val="right" w:leader="dot" w:pos="9060"/>
        </w:tabs>
        <w:ind w:firstLine="640"/>
        <w:outlineLvl w:val="1"/>
        <w:rPr>
          <w:rFonts w:ascii="Times New Roman" w:hAnsi="Times New Roman" w:eastAsia="黑体" w:cs="Times New Roman"/>
          <w:kern w:val="2"/>
          <w:szCs w:val="32"/>
        </w:rPr>
      </w:pPr>
      <w:bookmarkStart w:id="108" w:name="_Toc2885"/>
      <w:r>
        <w:rPr>
          <w:rFonts w:hint="eastAsia" w:ascii="Times New Roman" w:hAnsi="Times New Roman" w:eastAsia="黑体" w:cs="Times New Roman"/>
          <w:kern w:val="2"/>
          <w:szCs w:val="32"/>
        </w:rPr>
        <w:t>四、提升文化传播力影响力</w:t>
      </w:r>
      <w:bookmarkEnd w:id="108"/>
    </w:p>
    <w:p w14:paraId="5EE06114">
      <w:pPr>
        <w:widowControl/>
        <w:shd w:val="clear" w:color="auto" w:fill="FFFFFF"/>
        <w:ind w:firstLine="640"/>
        <w:rPr>
          <w:rFonts w:ascii="Times New Roman" w:hAnsi="Times New Roman"/>
          <w:color w:val="0F1115"/>
          <w:kern w:val="2"/>
          <w:szCs w:val="32"/>
          <w:shd w:val="clear" w:color="auto" w:fill="FFFFFF"/>
        </w:rPr>
      </w:pPr>
      <w:r>
        <w:rPr>
          <w:rFonts w:hint="eastAsia" w:ascii="Times New Roman" w:hAnsi="Times New Roman"/>
          <w:color w:val="0F1115"/>
          <w:kern w:val="2"/>
          <w:szCs w:val="32"/>
          <w:shd w:val="clear" w:color="auto" w:fill="FFFFFF"/>
        </w:rPr>
        <w:t>深入挖掘槐荫深厚历史文化底蕴，展现槐荫文化脉络、讲好槐荫故事、传播槐荫声音。大力保护传承弘扬黄河文化，加强沿黄非物质文化遗产保护，支持黄河文化优秀文艺作品创作与展演，讲好新时代槐荫黄河故事。创新对外传播载体与方式，深化友城、友校、友企、友媒、友人“五友”对外宣传，增强槐荫文化的国际认同与影响力。高标准办好中国国际儿童电影展等国家级文化活动，积极引进全国优秀音乐剧展演、国际音乐节、国际戏剧节等具有广泛影响的高水平展演与赛事，鼓励国内外优秀文化产品与服务在槐荫首发、首演、首展，鼓励支持文化领域国内外高水平学术交流会议活动落户槐荫，营造开放包容、时尚活力的城市文化生态。</w:t>
      </w:r>
    </w:p>
    <w:p w14:paraId="60F91E0C">
      <w:pPr>
        <w:adjustRightInd/>
        <w:snapToGrid/>
        <w:ind w:firstLine="640"/>
        <w:rPr>
          <w:rFonts w:ascii="Times New Roman" w:hAnsi="Times New Roman" w:cs="Times New Roman"/>
        </w:rPr>
      </w:pPr>
    </w:p>
    <w:bookmarkEnd w:id="107"/>
    <w:p w14:paraId="50028DC5">
      <w:pPr>
        <w:spacing w:line="240" w:lineRule="auto"/>
        <w:ind w:firstLine="0" w:firstLineChars="0"/>
        <w:jc w:val="left"/>
        <w:rPr>
          <w:rFonts w:ascii="Times New Roman" w:hAnsi="Times New Roman" w:eastAsia="方正小标宋简体" w:cs="Times New Roman"/>
          <w:b/>
          <w:bCs/>
          <w:kern w:val="2"/>
          <w:sz w:val="36"/>
          <w:szCs w:val="36"/>
        </w:rPr>
      </w:pPr>
      <w:bookmarkStart w:id="109" w:name="_Toc3655"/>
      <w:r>
        <w:rPr>
          <w:rFonts w:ascii="Times New Roman" w:hAnsi="Times New Roman" w:eastAsia="方正小标宋简体" w:cs="Times New Roman"/>
          <w:b/>
          <w:bCs/>
          <w:kern w:val="2"/>
          <w:sz w:val="36"/>
          <w:szCs w:val="36"/>
        </w:rPr>
        <w:br w:type="page"/>
      </w:r>
    </w:p>
    <w:p w14:paraId="0D05AF7D">
      <w:pPr>
        <w:adjustRightInd/>
        <w:snapToGrid/>
        <w:spacing w:line="560" w:lineRule="exact"/>
        <w:ind w:firstLine="0" w:firstLineChars="0"/>
        <w:jc w:val="center"/>
        <w:outlineLvl w:val="0"/>
        <w:rPr>
          <w:rFonts w:ascii="Times New Roman" w:hAnsi="Times New Roman"/>
        </w:rPr>
      </w:pPr>
      <w:bookmarkStart w:id="110" w:name="_Toc14493"/>
      <w:r>
        <w:rPr>
          <w:rFonts w:hint="eastAsia" w:ascii="Times New Roman" w:hAnsi="Times New Roman" w:eastAsia="方正小标宋简体" w:cs="Times New Roman"/>
          <w:bCs/>
          <w:spacing w:val="-4"/>
          <w:kern w:val="2"/>
          <w:sz w:val="36"/>
          <w:szCs w:val="36"/>
        </w:rPr>
        <w:t xml:space="preserve">第九章  </w:t>
      </w:r>
      <w:bookmarkEnd w:id="109"/>
      <w:r>
        <w:rPr>
          <w:rFonts w:hint="eastAsia" w:ascii="Times New Roman" w:hAnsi="Times New Roman" w:eastAsia="方正小标宋简体" w:cs="Times New Roman"/>
          <w:bCs/>
          <w:spacing w:val="-4"/>
          <w:kern w:val="2"/>
          <w:sz w:val="36"/>
          <w:szCs w:val="36"/>
        </w:rPr>
        <w:t>着力保障和改善民生，共创共同富裕新生活</w:t>
      </w:r>
      <w:bookmarkEnd w:id="110"/>
    </w:p>
    <w:p w14:paraId="2E29F79F">
      <w:pPr>
        <w:adjustRightInd/>
        <w:snapToGrid/>
        <w:spacing w:line="580" w:lineRule="exact"/>
        <w:ind w:firstLine="640"/>
        <w:rPr>
          <w:rFonts w:ascii="Times New Roman" w:hAnsi="Times New Roman"/>
        </w:rPr>
      </w:pPr>
      <w:bookmarkStart w:id="111" w:name="_Toc25078"/>
    </w:p>
    <w:p w14:paraId="1B0D64DB">
      <w:pPr>
        <w:ind w:firstLine="640"/>
        <w:rPr>
          <w:rFonts w:ascii="Times New Roman" w:hAnsi="Times New Roman"/>
        </w:rPr>
      </w:pPr>
      <w:r>
        <w:rPr>
          <w:rFonts w:hint="eastAsia" w:ascii="Times New Roman" w:hAnsi="Times New Roman"/>
        </w:rPr>
        <w:t>坚持尽力而为、量力而行，加强普惠性、基础性、兜底性民生建设，解决好群众急难愁盼问题，不断增进民生福祉，让现代化强区建设成果更多更公平惠及全体人民。</w:t>
      </w:r>
    </w:p>
    <w:p w14:paraId="6BE2F415">
      <w:pPr>
        <w:overflowPunct/>
        <w:ind w:firstLine="704"/>
        <w:outlineLvl w:val="1"/>
        <w:rPr>
          <w:rFonts w:ascii="Times New Roman" w:hAnsi="Times New Roman" w:eastAsia="楷体_GB2312"/>
        </w:rPr>
      </w:pPr>
      <w:bookmarkStart w:id="112" w:name="_Toc5115"/>
      <w:bookmarkStart w:id="113" w:name="_Toc25554"/>
      <w:r>
        <w:rPr>
          <w:rFonts w:hint="eastAsia" w:ascii="Times New Roman" w:hAnsi="Times New Roman" w:eastAsia="黑体" w:cs="Times New Roman"/>
          <w:bCs/>
          <w:spacing w:val="-4"/>
          <w:kern w:val="2"/>
          <w:sz w:val="32"/>
          <w:szCs w:val="32"/>
        </w:rPr>
        <w:t>一</w:t>
      </w:r>
      <w:r>
        <w:rPr>
          <w:rFonts w:hint="eastAsia" w:ascii="Times New Roman" w:hAnsi="Times New Roman" w:eastAsia="黑体" w:cs="黑体"/>
          <w:sz w:val="32"/>
          <w:szCs w:val="32"/>
        </w:rPr>
        <w:t>、</w:t>
      </w:r>
      <w:bookmarkEnd w:id="112"/>
      <w:r>
        <w:rPr>
          <w:rFonts w:hint="eastAsia" w:ascii="Times New Roman" w:hAnsi="Times New Roman" w:eastAsia="黑体" w:cs="Times New Roman"/>
          <w:bCs/>
          <w:spacing w:val="-4"/>
          <w:kern w:val="2"/>
          <w:sz w:val="32"/>
          <w:szCs w:val="32"/>
        </w:rPr>
        <w:t>促进高质量就业与增收</w:t>
      </w:r>
      <w:bookmarkEnd w:id="113"/>
    </w:p>
    <w:p w14:paraId="7CBAB140">
      <w:pPr>
        <w:overflowPunct/>
        <w:ind w:firstLine="640"/>
        <w:rPr>
          <w:rFonts w:ascii="Times New Roman" w:hAnsi="Times New Roman"/>
        </w:rPr>
      </w:pPr>
      <w:r>
        <w:rPr>
          <w:rFonts w:hint="eastAsia" w:ascii="宋体" w:hAnsi="宋体" w:eastAsia="楷体_GB2312" w:cs="楷体_GB2312"/>
          <w:szCs w:val="32"/>
        </w:rPr>
        <w:t>（一）推动就业扩容提质。</w:t>
      </w:r>
      <w:r>
        <w:rPr>
          <w:rFonts w:hint="eastAsia" w:ascii="Times New Roman" w:hAnsi="Times New Roman"/>
        </w:rPr>
        <w:t>深入实施就业优先战略，健全就业促进机制，加快“就业环境友好型城区”建设，推动槐荫人力资源服务产业园提质升级，引导人力资源服务机构加强业务创新，发展高级人才寻访、人力资源测评等中高端业态。加强产业和就业协同，积极培育新职业新岗位，支持各类经营主体稳岗扩岗。完善就业支持和公共服务体系，深化“社区微业”“春风行动”“直播带岗”等行动，推进商圈“四业联动”综合服务体系建设，构建“15分钟就业服务圈”，围绕企业用工需求开展职业培训。</w:t>
      </w:r>
    </w:p>
    <w:p w14:paraId="212EEC8C">
      <w:pPr>
        <w:overflowPunct/>
        <w:ind w:firstLine="640"/>
        <w:rPr>
          <w:rFonts w:ascii="Times New Roman" w:hAnsi="Times New Roman"/>
        </w:rPr>
      </w:pPr>
      <w:r>
        <w:rPr>
          <w:rFonts w:hint="eastAsia" w:ascii="宋体" w:hAnsi="宋体" w:eastAsia="楷体_GB2312" w:cs="楷体_GB2312"/>
          <w:szCs w:val="32"/>
        </w:rPr>
        <w:t>（二）强化重点群体就业支持。</w:t>
      </w:r>
      <w:r>
        <w:rPr>
          <w:rFonts w:hint="eastAsia" w:ascii="Times New Roman" w:hAnsi="Times New Roman"/>
        </w:rPr>
        <w:t>着力抓好高校毕业生、农民工、退役军人等重点群体就业帮扶工作，实施高校毕业生启航扬帆计划，推进城乡公益性岗位提质扩容。做好退役军人就业服务保障，加强职业技能培训，加大创业扶持力度。深化区劳动人事争议调解中心建设，完善劳动关系协商协调机制，健全治理欠薪长效机制，保障农民工工资支付，开展欠薪企业信用评价，加强劳动者权益保障。</w:t>
      </w:r>
    </w:p>
    <w:p w14:paraId="203579EC">
      <w:pPr>
        <w:overflowPunct/>
        <w:ind w:firstLine="640"/>
        <w:rPr>
          <w:rFonts w:ascii="Times New Roman" w:hAnsi="Times New Roman"/>
        </w:rPr>
      </w:pPr>
      <w:r>
        <w:rPr>
          <w:rFonts w:hint="eastAsia" w:ascii="宋体" w:hAnsi="宋体" w:eastAsia="楷体_GB2312" w:cs="楷体_GB2312"/>
          <w:szCs w:val="32"/>
        </w:rPr>
        <w:t>（三）持续提高城乡居民收入。</w:t>
      </w:r>
      <w:r>
        <w:rPr>
          <w:rFonts w:hint="eastAsia" w:ascii="Times New Roman" w:hAnsi="Times New Roman"/>
        </w:rPr>
        <w:t>完善劳动者工资决定、合理增长、支付保障机制，推行工资集体协商制度，稳步增加居民劳动收入。持续扩大中等收入群体规模，鼓励引导企业提高员工福利待遇，多渠道增加城乡居民财产性收入。促进和规范公益慈善事业发展，引导社会力量积极参与慈善捐赠和社会救助工作，强化慈善与政府救助衔接，更好发挥第三次分配作用。</w:t>
      </w:r>
    </w:p>
    <w:bookmarkEnd w:id="111"/>
    <w:p w14:paraId="3E931C04">
      <w:pPr>
        <w:ind w:firstLine="640"/>
        <w:outlineLvl w:val="1"/>
        <w:rPr>
          <w:rFonts w:ascii="Times New Roman" w:hAnsi="Times New Roman" w:eastAsia="黑体" w:cs="黑体"/>
          <w:kern w:val="2"/>
          <w:szCs w:val="24"/>
        </w:rPr>
      </w:pPr>
      <w:bookmarkStart w:id="114" w:name="_Toc15148"/>
      <w:r>
        <w:rPr>
          <w:rFonts w:hint="eastAsia" w:ascii="Times New Roman" w:hAnsi="Times New Roman" w:eastAsia="黑体" w:cs="黑体"/>
          <w:kern w:val="2"/>
          <w:szCs w:val="24"/>
        </w:rPr>
        <w:t>二、办好人民满意的教育</w:t>
      </w:r>
      <w:bookmarkEnd w:id="114"/>
    </w:p>
    <w:p w14:paraId="2CA691A8">
      <w:pPr>
        <w:pStyle w:val="10"/>
        <w:spacing w:after="0"/>
        <w:ind w:left="0" w:leftChars="0" w:firstLine="640"/>
        <w:rPr>
          <w:rFonts w:ascii="Times New Roman" w:hAnsi="Times New Roman" w:eastAsia="仿宋_GB2312"/>
          <w:sz w:val="32"/>
        </w:rPr>
      </w:pPr>
      <w:r>
        <w:rPr>
          <w:rFonts w:hint="eastAsia" w:ascii="Times New Roman" w:hAnsi="Times New Roman" w:eastAsia="楷体_GB2312"/>
          <w:sz w:val="32"/>
        </w:rPr>
        <w:t>（一）深化教育综合改革。</w:t>
      </w:r>
      <w:r>
        <w:rPr>
          <w:rFonts w:hint="eastAsia" w:ascii="Times New Roman" w:hAnsi="Times New Roman" w:eastAsia="仿宋_GB2312"/>
          <w:sz w:val="32"/>
        </w:rPr>
        <w:t>完善立德树人机制，构建方向正确、内容完善、学段衔接、载体丰富、常态开展的德育课程体系。深化大中小学思想政治教育一体化建设，挖掘课程思政要素，形成多维协同育人的思政课新形态。深化课堂教学改革，推进思维发展“慧学课堂”建设，探索小初高一体化教研路径。完善体育、美育、劳动教育、科技教育、心理健康教育、近视防控等工作机制，发挥好家校社协同育人“教联体”作用，促进学生德智体美劳全面发展。</w:t>
      </w:r>
    </w:p>
    <w:p w14:paraId="0D2EA975">
      <w:pPr>
        <w:overflowPunct/>
        <w:ind w:firstLine="640"/>
        <w:rPr>
          <w:rFonts w:ascii="Times New Roman" w:hAnsi="Times New Roman"/>
        </w:rPr>
      </w:pPr>
      <w:r>
        <w:rPr>
          <w:rFonts w:hint="eastAsia" w:ascii="Times New Roman" w:hAnsi="Times New Roman" w:eastAsia="楷体_GB2312"/>
        </w:rPr>
        <w:t>（二）推进基础教育扩优提质。</w:t>
      </w:r>
      <w:r>
        <w:rPr>
          <w:rFonts w:hint="eastAsia" w:ascii="Times New Roman" w:hAnsi="Times New Roman"/>
        </w:rPr>
        <w:t>建立同人口变化相协调的基本公共教育服务供给机制，优化区域教育资源配置，推进适度集中办学，做好小规模学校调整，加强济南国际医学中心片区优质教育资源导入，坚持教育设施与居住区同步规划、同步建设、同步投入使用。优化普惠性学前教育资源布局结构，扩大普惠性学位供给，逐步推进免费学前教育。引进优质资源，培植办园特色，打造办园品牌。以“园长教师素质提升工程”等活动为抓手，加强园长教师轮训培养。完善义务教育优质均衡推进机制，深化合作办学、集团化办学改革，提升学校国际化建设水平，打造一批“对外开放窗口学校”。办好特殊教育，全面普及15年免费特殊教育，到2030年残疾儿童义务教育入学率稳定在99%以上。以区特殊教育资源中心为依托，强化学段衔接，全面实施融合教育。强化校园安全管理，实施安全管控能力提升工程，加强智能校园建设，推广应用新一代智能安防系统，打造智能化校园门禁与监控体系。加强校园及周边食品安全综合治理。</w:t>
      </w:r>
    </w:p>
    <w:p w14:paraId="5227B5A9">
      <w:pPr>
        <w:overflowPunct/>
        <w:ind w:firstLine="640"/>
        <w:rPr>
          <w:rFonts w:ascii="Times New Roman" w:hAnsi="Times New Roman"/>
        </w:rPr>
      </w:pPr>
      <w:r>
        <w:rPr>
          <w:rFonts w:hint="eastAsia" w:ascii="Times New Roman" w:hAnsi="Times New Roman" w:eastAsia="楷体_GB2312"/>
        </w:rPr>
        <w:t>（三）打造学习型城区样板。</w:t>
      </w:r>
      <w:r>
        <w:rPr>
          <w:rFonts w:hint="eastAsia" w:ascii="Times New Roman" w:hAnsi="Times New Roman"/>
        </w:rPr>
        <w:t>深化职普融通、产教融合，加快落实职教高考制度，加强“特色化专业+实训基地”建设，</w:t>
      </w:r>
      <w:r>
        <w:rPr>
          <w:rFonts w:hint="eastAsia" w:ascii="Times New Roman" w:hAnsi="Times New Roman"/>
          <w:lang w:val="en-US" w:eastAsia="zh-CN"/>
        </w:rPr>
        <w:t>加强与国内外高校合作，</w:t>
      </w:r>
      <w:r>
        <w:rPr>
          <w:rFonts w:hint="eastAsia" w:ascii="Times New Roman" w:hAnsi="Times New Roman"/>
        </w:rPr>
        <w:t>打造精品资源课输出、专业技能鉴定基地等对外合作品牌项目</w:t>
      </w:r>
      <w:r>
        <w:rPr>
          <w:rFonts w:hint="eastAsia" w:ascii="Times New Roman" w:hAnsi="Times New Roman"/>
          <w:highlight w:val="none"/>
        </w:rPr>
        <w:t>，</w:t>
      </w:r>
      <w:r>
        <w:rPr>
          <w:rFonts w:hint="eastAsia" w:ascii="Times New Roman" w:hAnsi="Times New Roman"/>
        </w:rPr>
        <w:t>积极参与省会经济圈产教联合体、市域产教联合体和行业产教融合共同体，打造省内领先的中职名校。推动教育数字化转型，升级教育城域网，完善教育专网更新升级项目，推进实施省级国家智慧教育平台全面深化应用试点工作。加强终身教育保障，引导规范民办教育发展，创新“开放+”“社区+”“互联网+”社区教育、老年教育及各类普惠教育模式，推动学习型社会建设。</w:t>
      </w:r>
    </w:p>
    <w:p w14:paraId="5870EB29">
      <w:pPr>
        <w:pStyle w:val="10"/>
        <w:numPr>
          <w:ilvl w:val="255"/>
          <w:numId w:val="0"/>
        </w:numPr>
        <w:spacing w:after="0"/>
        <w:ind w:firstLine="640" w:firstLineChars="200"/>
        <w:rPr>
          <w:rFonts w:ascii="Times New Roman" w:hAnsi="Times New Roman" w:eastAsia="仿宋_GB2312"/>
          <w:sz w:val="32"/>
        </w:rPr>
      </w:pPr>
      <w:r>
        <w:rPr>
          <w:rFonts w:hint="eastAsia" w:ascii="Times New Roman" w:hAnsi="Times New Roman" w:eastAsia="楷体_GB2312"/>
          <w:sz w:val="32"/>
        </w:rPr>
        <w:t>（四）锻造新时代强师队伍。</w:t>
      </w:r>
      <w:r>
        <w:rPr>
          <w:rFonts w:hint="eastAsia" w:ascii="Times New Roman" w:hAnsi="Times New Roman" w:eastAsia="仿宋_GB2312"/>
          <w:sz w:val="32"/>
        </w:rPr>
        <w:t>实施“人才强教”战略，弘扬教育家精神，加大名优教师引进力度，扩大骨干教师交流轮岗范围，优化区域师资配置。完善教师专业阶梯式发展模型，丰富师资培训资源，构建支持各阶段教师发展的研训课程体系。开展全员“三新”培训、青年教师成长学院梯队培养、新教师“三段贯通式”培养项目，健全骨干教师选拔、认定和奖励机制，形成可推广可复制的教师专业发展模式。加强教师思想政治素质建设，加强师德监管，对师德失范行为“零容忍”。加强教师权益保障，完善教师编制岗位、待遇保障等制度，打造高素质、专业化、创新型教师队伍。</w:t>
      </w:r>
    </w:p>
    <w:p w14:paraId="7EFA6AC4">
      <w:pPr>
        <w:ind w:firstLine="640"/>
        <w:outlineLvl w:val="1"/>
        <w:rPr>
          <w:rFonts w:ascii="Times New Roman" w:hAnsi="Times New Roman" w:eastAsia="楷体_GB2312"/>
        </w:rPr>
      </w:pPr>
      <w:bookmarkStart w:id="115" w:name="_Toc4642"/>
      <w:r>
        <w:rPr>
          <w:rFonts w:hint="eastAsia" w:ascii="Times New Roman" w:hAnsi="Times New Roman" w:eastAsia="黑体" w:cs="黑体"/>
          <w:kern w:val="2"/>
          <w:szCs w:val="24"/>
        </w:rPr>
        <w:t>三、纵深推进健康槐荫建设</w:t>
      </w:r>
      <w:bookmarkEnd w:id="115"/>
    </w:p>
    <w:p w14:paraId="67DEF077">
      <w:pPr>
        <w:overflowPunct/>
        <w:ind w:firstLine="640"/>
        <w:rPr>
          <w:rFonts w:ascii="Times New Roman" w:hAnsi="Times New Roman" w:eastAsia="楷体_GB2312"/>
        </w:rPr>
      </w:pPr>
      <w:r>
        <w:rPr>
          <w:rFonts w:hint="eastAsia" w:ascii="Times New Roman" w:hAnsi="Times New Roman" w:eastAsia="楷体_GB2312"/>
        </w:rPr>
        <w:t>（一）完善公共卫生服务体系。</w:t>
      </w:r>
      <w:r>
        <w:rPr>
          <w:rFonts w:hint="eastAsia" w:ascii="Times New Roman" w:hAnsi="Times New Roman"/>
        </w:rPr>
        <w:t>全面落实健康优先发展战略，巩固爱国卫生运动成效，不断满足人民群众全方位、全周期的健康需求。开展全民健康教育和健康素养促进行动，提升居民健康素养水平。开展控烟限酒行动，积极开展无烟单位创建活动。实施心理健康促进行动，大力开展心理健康教育、咨询、治疗、危机干预。在二级以上综合医院设立心理（精神）科，在社区卫生服务中心设立精神科门诊或心理咨询室。完善疾控体系建设，强化疾控和监督职能整合，推进疾控中心标准化建设。实施合理膳食行动与国民营养计划，持续开展健康体重管理行动。认真抓好国家儿童免疫规划疫苗接种，确保适龄儿童免疫规划疫苗接种率达标。加强慢性病综合防控、重点职业病防治，增强心理健康和精神卫生服务能力，加强重点人群生活方式指导和日常健康管理，探索“防筛治康管”一体化健康服务模式，深化医防协同、医防融合，健全重大传染病联防联控机制。推进全民健康数智化建设。强化气候敏感疾病的预警提醒，加强卫生应急队伍建设，健全卫生应急装备、物资储备体系，提升极端天气气候事件卫生应急处置能力。</w:t>
      </w:r>
    </w:p>
    <w:p w14:paraId="6EBBEA75">
      <w:pPr>
        <w:overflowPunct/>
        <w:ind w:firstLine="640"/>
        <w:rPr>
          <w:rFonts w:ascii="Times New Roman" w:hAnsi="Times New Roman"/>
        </w:rPr>
      </w:pPr>
      <w:r>
        <w:rPr>
          <w:rFonts w:hint="eastAsia" w:ascii="Times New Roman" w:hAnsi="Times New Roman" w:eastAsia="楷体_GB2312"/>
        </w:rPr>
        <w:t>（二）提升医疗服务水平。</w:t>
      </w:r>
      <w:r>
        <w:rPr>
          <w:rFonts w:hint="eastAsia" w:ascii="Times New Roman" w:hAnsi="Times New Roman"/>
        </w:rPr>
        <w:t>持续扩大优质医疗资源供给，充分发挥既有高水平医疗机构，以及济南国际医学中心片区新建医疗机构优势，推动紧密型城市医疗集团建设。加强儿科、老年医学、心理健康和精神卫生等专科建设，强化医疗卫生队伍能力和作风建设。优化医疗机构功能定位，以公益性为导向深化公立医院编制、服务价格、薪酬制度、综合监管改革，引导规范民营医院发展。实施医疗卫生强基工程，推动社区卫生服务中心和村卫生室标准化建设，普遍达到“七有四提升”标准。加强医疗质量控制中心建设，全方位提升患者就医体验。</w:t>
      </w:r>
    </w:p>
    <w:p w14:paraId="3A1E738E">
      <w:pPr>
        <w:overflowPunct/>
        <w:ind w:firstLine="640"/>
        <w:rPr>
          <w:rFonts w:ascii="Times New Roman" w:hAnsi="Times New Roman"/>
        </w:rPr>
      </w:pPr>
      <w:r>
        <w:rPr>
          <w:rFonts w:hint="eastAsia" w:ascii="Times New Roman" w:hAnsi="Times New Roman" w:eastAsia="楷体_GB2312"/>
        </w:rPr>
        <w:t>（三）打造中医药特色品牌。</w:t>
      </w:r>
      <w:r>
        <w:rPr>
          <w:rFonts w:hint="eastAsia" w:ascii="Times New Roman" w:hAnsi="Times New Roman"/>
        </w:rPr>
        <w:t>推进中医药传承创新，促进中西医结合，高标准建设中医类国家区域医疗中心，精准培育肿瘤、风湿病、内分泌等重点学科，打造国内领先的中西医结合肿瘤防治中心。强化中医馆、中医阁等基层中医药机构布局，推广中医药适宜技术特色疗法。传承和弘扬中医药文化，推进中医药文化阵地建设，打造一批中医药文化宣传亭、中医角、中医药文化特色街区，常态化开展中医药健康知识普及、义诊咨询等系列活动。积极发展“中医药＋”健康新业态，</w:t>
      </w:r>
      <w:r>
        <w:rPr>
          <w:rFonts w:hint="eastAsia" w:ascii="Times New Roman" w:hAnsi="Times New Roman"/>
          <w:shd w:val="clear" w:color="auto" w:fill="FFFFFF"/>
        </w:rPr>
        <w:t>推进中医药产业融合发展</w:t>
      </w:r>
      <w:r>
        <w:rPr>
          <w:rFonts w:hint="eastAsia" w:ascii="Times New Roman" w:hAnsi="Times New Roman"/>
        </w:rPr>
        <w:t>。</w:t>
      </w:r>
    </w:p>
    <w:p w14:paraId="3D43DB8A">
      <w:pPr>
        <w:ind w:firstLine="640"/>
        <w:rPr>
          <w:rFonts w:ascii="Times New Roman" w:hAnsi="Times New Roman"/>
        </w:rPr>
      </w:pPr>
      <w:r>
        <w:rPr>
          <w:rFonts w:hint="eastAsia" w:ascii="Times New Roman" w:hAnsi="Times New Roman" w:eastAsia="楷体_GB2312"/>
        </w:rPr>
        <w:t>（四）繁</w:t>
      </w:r>
      <w:r>
        <w:rPr>
          <w:rFonts w:hint="eastAsia" w:ascii="Times New Roman" w:hAnsi="Times New Roman" w:eastAsia="楷体_GB2312"/>
        </w:rPr>
        <w:t>荣发展体育事业</w:t>
      </w:r>
      <w:r>
        <w:rPr>
          <w:rFonts w:hint="eastAsia" w:ascii="Times New Roman" w:hAnsi="Times New Roman" w:eastAsia="楷体_GB2312"/>
        </w:rPr>
        <w:t>。</w:t>
      </w:r>
      <w:r>
        <w:rPr>
          <w:rFonts w:hint="eastAsia" w:ascii="Times New Roman" w:hAnsi="Times New Roman"/>
        </w:rPr>
        <w:t>统筹推进群众体育和竞技体育发展，加快建设体育强区。拓展城市健身空间，推进西部综合体育场馆建设，打造玉清湖街道黄河生态公园，建设骑行步道、特色篮球场、极限运动场地及露营地等。借助腊山、匡山、黄河、小清河等依山傍水地理优势，打造一批骑行步道和户外健身运动基地。改造提升健身场地，增设智慧步道、智慧健身器械、智慧小屋等，逐步推广智慧体育公园。推进“阳光体育·活力槐荫”品牌建设，积极举办国家、省、市体育品牌赛事。</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CA7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auto" w:sz="4" w:space="0"/>
              <w:left w:val="single" w:color="auto" w:sz="4" w:space="0"/>
              <w:bottom w:val="single" w:color="auto" w:sz="4" w:space="0"/>
              <w:right w:val="single" w:color="auto" w:sz="4" w:space="0"/>
              <w:tl2br w:val="nil"/>
              <w:tr2bl w:val="nil"/>
            </w:tcBorders>
          </w:tcPr>
          <w:p w14:paraId="6F4A0583">
            <w:pPr>
              <w:adjustRightInd/>
              <w:snapToGrid/>
              <w:spacing w:line="480" w:lineRule="exact"/>
              <w:ind w:firstLine="0" w:firstLineChars="0"/>
              <w:jc w:val="center"/>
              <w:rPr>
                <w:rFonts w:ascii="Times New Roman" w:hAnsi="Times New Roman" w:eastAsia="黑体" w:cs="黑体"/>
                <w:sz w:val="28"/>
                <w:szCs w:val="28"/>
              </w:rPr>
            </w:pPr>
            <w:r>
              <w:rPr>
                <w:rFonts w:hint="eastAsia" w:ascii="Times New Roman" w:hAnsi="Times New Roman" w:eastAsia="黑体" w:cs="黑体"/>
                <w:sz w:val="28"/>
                <w:szCs w:val="28"/>
              </w:rPr>
              <w:t>专栏5 医疗卫生设施项目</w:t>
            </w:r>
          </w:p>
          <w:p w14:paraId="05C25E44">
            <w:pPr>
              <w:adjustRightInd/>
              <w:snapToGrid/>
              <w:spacing w:line="480" w:lineRule="exact"/>
              <w:ind w:firstLine="0" w:firstLineChars="0"/>
              <w:rPr>
                <w:rFonts w:ascii="Times New Roman" w:hAnsi="Times New Roman" w:eastAsia="黑体" w:cs="黑体"/>
                <w:sz w:val="28"/>
                <w:szCs w:val="28"/>
              </w:rPr>
            </w:pPr>
            <w:r>
              <w:rPr>
                <w:rFonts w:hint="eastAsia" w:ascii="Times New Roman" w:hAnsi="Times New Roman" w:eastAsia="楷体_GB2312" w:cs="楷体_GB2312"/>
                <w:sz w:val="28"/>
                <w:szCs w:val="32"/>
              </w:rPr>
              <w:t>山东大学齐鲁医院国家医学中心新建院区项目、山东省第二人民医院门诊病房综合楼建设、省立医院南地块城市更新项目、山东第一医科大学附属省立医院（山东省立医院）病房综合楼建设项目（二期）</w:t>
            </w:r>
          </w:p>
        </w:tc>
      </w:tr>
    </w:tbl>
    <w:p w14:paraId="7F5B1716">
      <w:pPr>
        <w:tabs>
          <w:tab w:val="right" w:leader="dot" w:pos="8777"/>
          <w:tab w:val="right" w:leader="dot" w:pos="9060"/>
        </w:tabs>
        <w:ind w:firstLine="640"/>
        <w:outlineLvl w:val="1"/>
        <w:rPr>
          <w:rFonts w:ascii="Times New Roman" w:hAnsi="Times New Roman" w:eastAsia="黑体" w:cs="Times New Roman"/>
          <w:kern w:val="2"/>
          <w:szCs w:val="32"/>
        </w:rPr>
      </w:pPr>
      <w:bookmarkStart w:id="116" w:name="_Toc32354"/>
      <w:r>
        <w:rPr>
          <w:rFonts w:hint="eastAsia" w:ascii="Times New Roman" w:hAnsi="Times New Roman" w:eastAsia="黑体" w:cs="黑体"/>
          <w:kern w:val="2"/>
          <w:szCs w:val="24"/>
        </w:rPr>
        <w:t>四、</w:t>
      </w:r>
      <w:r>
        <w:rPr>
          <w:rFonts w:hint="eastAsia" w:ascii="Times New Roman" w:hAnsi="Times New Roman" w:eastAsia="黑体" w:cs="Times New Roman"/>
          <w:kern w:val="2"/>
          <w:szCs w:val="32"/>
        </w:rPr>
        <w:t>推进人口高质量发展</w:t>
      </w:r>
      <w:bookmarkEnd w:id="116"/>
    </w:p>
    <w:p w14:paraId="6491A3E5">
      <w:pPr>
        <w:overflowPunct/>
        <w:ind w:firstLine="640"/>
        <w:rPr>
          <w:rFonts w:ascii="Times New Roman" w:hAnsi="Times New Roman"/>
          <w:sz w:val="31"/>
          <w:szCs w:val="31"/>
        </w:rPr>
      </w:pPr>
      <w:r>
        <w:rPr>
          <w:rFonts w:hint="eastAsia" w:ascii="Times New Roman" w:hAnsi="Times New Roman" w:eastAsia="楷体_GB2312"/>
        </w:rPr>
        <w:t>（一）建设生育友好型城区。</w:t>
      </w:r>
      <w:r>
        <w:rPr>
          <w:rFonts w:hint="eastAsia" w:ascii="Times New Roman" w:hAnsi="Times New Roman"/>
        </w:rPr>
        <w:t>倡导积极健康婚育观，打造“满槐同心”婚姻登记服务品牌。落实各项生育补贴政策，建立生育成本政府、社会和家庭共担机制，多渠道降低生育、养育、教育成本。落实生育休假制度，实施早孕关爱行动，加强适龄人群出生缺陷干预，推进母婴安全五项制度落实落细，完善危重孕产妇、儿童和新生儿三级救治网络，孕产妇死亡率、婴儿死亡率和5岁以下儿童死亡率稳定在较低水平。发展医育结合服务，健全普惠托育和托幼一体化服务体系，</w:t>
      </w:r>
      <w:bookmarkStart w:id="117" w:name="_Hlk216108268"/>
      <w:r>
        <w:rPr>
          <w:rFonts w:hint="eastAsia" w:ascii="Times New Roman" w:hAnsi="Times New Roman"/>
        </w:rPr>
        <w:t>大力发展多元化普惠托育，打造“普惠善育、安托槐荫”托育服务品牌</w:t>
      </w:r>
      <w:r>
        <w:rPr>
          <w:rFonts w:ascii="Times New Roman" w:hAnsi="Times New Roman"/>
        </w:rPr>
        <w:t>。</w:t>
      </w:r>
      <w:bookmarkEnd w:id="117"/>
    </w:p>
    <w:p w14:paraId="4249809A">
      <w:pPr>
        <w:ind w:firstLine="640"/>
        <w:rPr>
          <w:rFonts w:ascii="Times New Roman" w:hAnsi="Times New Roman"/>
        </w:rPr>
      </w:pPr>
      <w:r>
        <w:rPr>
          <w:rFonts w:hint="eastAsia" w:ascii="Times New Roman" w:hAnsi="Times New Roman" w:eastAsia="楷体_GB2312"/>
        </w:rPr>
        <w:t>（二）建设儿童友好型城区。</w:t>
      </w:r>
      <w:r>
        <w:rPr>
          <w:rFonts w:hint="eastAsia" w:ascii="Times New Roman" w:hAnsi="Times New Roman"/>
        </w:rPr>
        <w:t>发挥“童耀未来”儿童友好型园区营造项目示范作用，精心打造“科普实践快乐成长”“爱心护童行 平安伴成长”“绘就美好—我心目中的儿童友好城市”等系列儿童文化品牌活动。积极倡导“一米高度看城市”，因地制宜推进儿童友好空间建设，围绕市立五院周边片区城市更新项目二期等建设，发展儿童书店、IP乐园、托育托管、亲子餐厅、青少年运动馆等，打造“童趣乐园”。强化困境儿童关爱服务体系建设，开展“薪‘槐’未来”关爱保护项目，推进儿童福利机构优化提质，加强儿童兜底保障工作，及时落实救助帮扶措施，提高孤儿和事实无人抚养儿童保障水平。</w:t>
      </w:r>
    </w:p>
    <w:p w14:paraId="18D769D1">
      <w:pPr>
        <w:overflowPunct/>
        <w:ind w:firstLine="640"/>
        <w:rPr>
          <w:rFonts w:ascii="Times New Roman" w:hAnsi="Times New Roman" w:eastAsia="楷体_GB2312"/>
        </w:rPr>
      </w:pPr>
      <w:r>
        <w:rPr>
          <w:rFonts w:hint="eastAsia" w:ascii="Times New Roman" w:hAnsi="Times New Roman" w:eastAsia="楷体_GB2312"/>
        </w:rPr>
        <w:t>（三）建设青年发展型城区。</w:t>
      </w:r>
      <w:r>
        <w:rPr>
          <w:rFonts w:hint="eastAsia" w:ascii="Times New Roman" w:hAnsi="Times New Roman"/>
        </w:rPr>
        <w:t>聚焦青年成长发展全周期需求，加强青年安居、就业、婚育、健康、文化等方面服务供给。优化青年发展环境，持续推进青年人才安居工程，将青年元素深度融入城市更新和城市建设项目，打响“槐young”城市品牌，增强全区“青合力”，到2030年，建设青年驿站5处、“优徕青年社区”10处。完善青年就业创业支持体系，以青创齐鲁大厦为载体，健全线上线下综合服务体系，打造“槐荫人才赋能港”，强化技能培训与职业指导，助力青年实现职业发展。丰富青年文化体育生活，培育特色青年社会组织，举办符合青年特点的文体活动，增强青年的参与感和认同感。对接青年婚恋交友核心诉求，精心开展单身青年社交活动，为青年婚恋交友提供精准化暖心服务。鼓励青年参与基层治理和城市建设，搭建青年与城市共成长的互动平台，让青年在槐荫安居乐业、建功立业。</w:t>
      </w:r>
    </w:p>
    <w:p w14:paraId="1B03308C">
      <w:pPr>
        <w:pStyle w:val="10"/>
        <w:spacing w:after="0"/>
        <w:ind w:left="0" w:leftChars="0" w:firstLine="640"/>
        <w:rPr>
          <w:rFonts w:ascii="Times New Roman" w:hAnsi="Times New Roman" w:eastAsia="仿宋_GB2312"/>
          <w:sz w:val="32"/>
        </w:rPr>
      </w:pPr>
      <w:r>
        <w:rPr>
          <w:rFonts w:hint="eastAsia" w:ascii="Times New Roman" w:hAnsi="Times New Roman" w:eastAsia="楷体_GB2312"/>
          <w:sz w:val="32"/>
        </w:rPr>
        <w:t>（四）建设老年友好型城区。</w:t>
      </w:r>
      <w:r>
        <w:rPr>
          <w:rFonts w:hint="eastAsia" w:ascii="Times New Roman" w:hAnsi="Times New Roman" w:eastAsia="仿宋_GB2312"/>
          <w:sz w:val="32"/>
        </w:rPr>
        <w:t>实施积极应对人口老龄化国家战略，健全完善区、街道、社区（村）、家庭四级养老服务网络，加强公共设施适老化和无障碍改造，推广互助养老、智慧养老、旅居养老、老幼共托等模式，到2030年，实现街道区域性养老服务中心全覆盖，建设城市社区日间照料中心106处、农村幸福院43处。开展“五床联动”试点工作，完善覆盖城乡的长期护理保险制度，健全失能失智老年人照护体系，扩大生活照料、康复护理、安宁疗护服务供给，全区养老机构护理型床位占比达到80%。推进养老服务队伍专业化建设，开展养老机构等级评定，养老机构服务安全、服务质量基本规范100%达标。</w:t>
      </w:r>
      <w:bookmarkStart w:id="118" w:name="_Hlk216111007"/>
      <w:r>
        <w:rPr>
          <w:rFonts w:hint="eastAsia" w:ascii="Times New Roman" w:hAnsi="Times New Roman" w:eastAsia="仿宋_GB2312"/>
          <w:sz w:val="32"/>
        </w:rPr>
        <w:t>深入推进医养结合，发展银发经济，实施“银龄安康”工程和“银龄行动”，推动“家政+养老”融合发展。</w:t>
      </w:r>
      <w:bookmarkEnd w:id="118"/>
      <w:r>
        <w:rPr>
          <w:rFonts w:hint="eastAsia" w:ascii="Times New Roman" w:hAnsi="Times New Roman" w:eastAsia="仿宋_GB2312"/>
          <w:sz w:val="32"/>
        </w:rPr>
        <w:t>推进“心电一张网”建设，积极推进老年友善医疗机构建设，深化老年痴呆防治行动。健全智慧全域养老综合平台功能，打造“全链式”智慧养老服务网络。稳妥实施渐进式延迟法定退休年龄改革，加强老年人权益保障。</w:t>
      </w:r>
    </w:p>
    <w:p w14:paraId="646A387C">
      <w:pPr>
        <w:ind w:firstLine="640"/>
        <w:outlineLvl w:val="1"/>
        <w:rPr>
          <w:rFonts w:ascii="Times New Roman" w:hAnsi="Times New Roman" w:eastAsia="黑体" w:cs="黑体"/>
          <w:kern w:val="2"/>
          <w:szCs w:val="24"/>
        </w:rPr>
      </w:pPr>
      <w:bookmarkStart w:id="119" w:name="_Toc3496"/>
      <w:r>
        <w:rPr>
          <w:rFonts w:hint="eastAsia" w:ascii="Times New Roman" w:hAnsi="Times New Roman" w:eastAsia="黑体" w:cs="黑体"/>
          <w:kern w:val="2"/>
          <w:szCs w:val="24"/>
        </w:rPr>
        <w:t>五、健全多层次社会保障体系</w:t>
      </w:r>
      <w:bookmarkEnd w:id="119"/>
    </w:p>
    <w:p w14:paraId="5A05CDC7">
      <w:pPr>
        <w:overflowPunct/>
        <w:ind w:firstLine="640"/>
        <w:rPr>
          <w:rFonts w:ascii="Times New Roman" w:hAnsi="Times New Roman"/>
        </w:rPr>
      </w:pPr>
      <w:r>
        <w:rPr>
          <w:rFonts w:hint="eastAsia" w:ascii="Times New Roman" w:hAnsi="Times New Roman" w:eastAsia="楷体_GB2312"/>
        </w:rPr>
        <w:t>（一）扩大社会保障覆盖面。</w:t>
      </w:r>
      <w:r>
        <w:rPr>
          <w:rFonts w:hint="eastAsia" w:ascii="Times New Roman" w:hAnsi="Times New Roman"/>
        </w:rPr>
        <w:t>深入实施“全民参保”精准扩面行动，强化“数据找人”，提高灵活就业人员、农民工、新就业形态人员参保率，扩大失业、工伤保险覆盖面，实现应保尽保。严格落实被征地农民社会保障资金足额发放、特困群体养老保险代缴等政策，健全社会保障托底机制，切实兜牢民生保障底线。</w:t>
      </w:r>
      <w:r>
        <w:rPr>
          <w:rFonts w:hint="eastAsia" w:ascii="Times New Roman" w:hAnsi="Times New Roman"/>
          <w:kern w:val="2"/>
          <w:szCs w:val="32"/>
        </w:rPr>
        <w:t>加快构建多层次、多支柱养老保险体系和医疗保障体系，积极发展普惠型商业补充医疗保险，推进社保基金管理提升行动，严厉打击欺诈骗保行为。</w:t>
      </w:r>
    </w:p>
    <w:p w14:paraId="2BB4383E">
      <w:pPr>
        <w:overflowPunct/>
        <w:ind w:firstLine="640"/>
        <w:rPr>
          <w:rFonts w:ascii="Times New Roman" w:hAnsi="Times New Roman" w:cs="Times New Roman"/>
        </w:rPr>
      </w:pPr>
      <w:r>
        <w:rPr>
          <w:rFonts w:hint="eastAsia" w:ascii="Times New Roman" w:hAnsi="Times New Roman" w:eastAsia="楷体_GB2312"/>
        </w:rPr>
        <w:t>（二）建立精准有效的社会救助体系。</w:t>
      </w:r>
      <w:r>
        <w:rPr>
          <w:rFonts w:hint="eastAsia" w:ascii="Times New Roman" w:hAnsi="Times New Roman"/>
        </w:rPr>
        <w:t>健全分层分类的社会救助体系，加强社会救助动态监测和救助帮扶。落实低保、特困救助标准自然增长机制，强化低收入人口救助帮扶，切实提高各类困难群体基本生活保障水平。探索服务类社会救助，促进社会组织、慈善力量等参与低收入人口救助帮扶，推动实现单一物质救助向“物质+服务”综合救助模式转变。</w:t>
      </w:r>
      <w:r>
        <w:rPr>
          <w:rFonts w:hint="eastAsia" w:ascii="Times New Roman" w:hAnsi="Times New Roman"/>
          <w:kern w:val="2"/>
          <w:szCs w:val="24"/>
        </w:rPr>
        <w:t>健全空巢老人、困境儿童、残疾人等重点人群关爱服务体系，保障妇女儿童合法权益。加强公益性殡葬服务，深化殡葬事业改革，加快推进区级公益性公墓建设，提升绿色殡葬设施服务供给能力。</w:t>
      </w:r>
    </w:p>
    <w:p w14:paraId="3BDE5A0C">
      <w:pPr>
        <w:ind w:firstLine="640"/>
        <w:rPr>
          <w:rFonts w:ascii="Times New Roman" w:hAnsi="Times New Roman"/>
          <w:kern w:val="2"/>
          <w:szCs w:val="24"/>
        </w:rPr>
      </w:pPr>
      <w:r>
        <w:rPr>
          <w:rFonts w:hint="eastAsia" w:ascii="Times New Roman" w:hAnsi="Times New Roman" w:eastAsia="楷体_GB2312"/>
        </w:rPr>
        <w:t>（三）加大住房保障支持力度。</w:t>
      </w:r>
      <w:bookmarkStart w:id="120" w:name="_Toc24108"/>
      <w:r>
        <w:rPr>
          <w:rFonts w:hint="eastAsia" w:ascii="Times New Roman" w:hAnsi="Times New Roman"/>
          <w:kern w:val="2"/>
          <w:szCs w:val="24"/>
        </w:rPr>
        <w:t>加快构建房地产发展新模式，健全多主体供给、多渠道保障、租购并举的住房制度，促进房地产高质量发展。稳步发展保障性租赁住房，加快推进灵活就业人员参加住房公积金制度，着力解决新市民、青年人、城乡工薪群体和各类困难家庭住房问题。加快西沙A-3地块高端人才公寓项目、山东省肿瘤防治研究院人才保障性租赁住房项目建设。强化监督管理和服务，更好保护出租人和承租人合法权益，维护市场秩序，规范住房租赁市场发展。</w:t>
      </w:r>
    </w:p>
    <w:p w14:paraId="5C3148B0">
      <w:pPr>
        <w:ind w:firstLine="0" w:firstLineChars="0"/>
        <w:jc w:val="left"/>
        <w:rPr>
          <w:rFonts w:ascii="Times New Roman" w:hAnsi="Times New Roman" w:eastAsia="方正小标宋简体" w:cs="Times New Roman"/>
          <w:b/>
          <w:bCs/>
          <w:kern w:val="2"/>
          <w:sz w:val="36"/>
          <w:szCs w:val="36"/>
        </w:rPr>
      </w:pPr>
      <w:r>
        <w:rPr>
          <w:rFonts w:ascii="Times New Roman" w:hAnsi="Times New Roman" w:eastAsia="方正小标宋简体" w:cs="Times New Roman"/>
          <w:b/>
          <w:bCs/>
          <w:kern w:val="2"/>
          <w:sz w:val="36"/>
          <w:szCs w:val="36"/>
        </w:rPr>
        <w:br w:type="page"/>
      </w:r>
    </w:p>
    <w:p w14:paraId="69BE68F8">
      <w:pPr>
        <w:adjustRightInd/>
        <w:snapToGrid/>
        <w:spacing w:line="560" w:lineRule="exact"/>
        <w:ind w:firstLine="0" w:firstLineChars="0"/>
        <w:jc w:val="center"/>
        <w:outlineLvl w:val="0"/>
        <w:rPr>
          <w:rFonts w:ascii="Times New Roman" w:hAnsi="Times New Roman" w:eastAsia="方正小标宋简体" w:cs="Times New Roman"/>
          <w:bCs/>
          <w:spacing w:val="-4"/>
          <w:kern w:val="2"/>
          <w:sz w:val="36"/>
          <w:szCs w:val="36"/>
        </w:rPr>
      </w:pPr>
      <w:bookmarkStart w:id="121" w:name="_Toc11633"/>
      <w:r>
        <w:rPr>
          <w:rFonts w:hint="eastAsia" w:ascii="Times New Roman" w:hAnsi="Times New Roman" w:eastAsia="方正小标宋简体" w:cs="Times New Roman"/>
          <w:bCs/>
          <w:spacing w:val="-4"/>
          <w:kern w:val="2"/>
          <w:sz w:val="36"/>
          <w:szCs w:val="36"/>
        </w:rPr>
        <w:t xml:space="preserve">第十章  </w:t>
      </w:r>
      <w:bookmarkEnd w:id="120"/>
      <w:r>
        <w:rPr>
          <w:rFonts w:hint="eastAsia" w:ascii="Times New Roman" w:hAnsi="Times New Roman" w:eastAsia="方正小标宋简体" w:cs="Times New Roman"/>
          <w:bCs/>
          <w:spacing w:val="-4"/>
          <w:kern w:val="2"/>
          <w:sz w:val="36"/>
          <w:szCs w:val="36"/>
        </w:rPr>
        <w:t>推进国家安全体系和能力现代化，持续提升城市治理效能</w:t>
      </w:r>
      <w:bookmarkEnd w:id="121"/>
    </w:p>
    <w:p w14:paraId="48CDD48D">
      <w:pPr>
        <w:ind w:firstLine="640"/>
        <w:rPr>
          <w:rFonts w:ascii="Times New Roman" w:hAnsi="Times New Roman"/>
        </w:rPr>
      </w:pPr>
    </w:p>
    <w:p w14:paraId="1B5FF2A0">
      <w:pPr>
        <w:ind w:firstLine="640"/>
        <w:rPr>
          <w:rFonts w:ascii="Times New Roman" w:hAnsi="Times New Roman"/>
          <w:kern w:val="2"/>
          <w:szCs w:val="32"/>
        </w:rPr>
      </w:pPr>
      <w:bookmarkStart w:id="122" w:name="_Toc8249"/>
      <w:r>
        <w:rPr>
          <w:rFonts w:hint="eastAsia" w:ascii="Times New Roman" w:hAnsi="Times New Roman"/>
          <w:kern w:val="2"/>
          <w:szCs w:val="32"/>
        </w:rPr>
        <w:t>坚定不移贯彻总体国家安全观，统筹推进依法治区、社会治理、国家安全和公共安全体系建设，全面提升治理体系和治理能力现代化水平，构建共建共治共享的城市治理新格局，打造更高水平“平安槐荫”。</w:t>
      </w:r>
    </w:p>
    <w:p w14:paraId="4AEBAFF4">
      <w:pPr>
        <w:ind w:firstLine="640"/>
        <w:outlineLvl w:val="1"/>
        <w:rPr>
          <w:rFonts w:ascii="Times New Roman" w:hAnsi="Times New Roman" w:eastAsia="黑体" w:cs="黑体"/>
          <w:kern w:val="2"/>
          <w:szCs w:val="24"/>
        </w:rPr>
      </w:pPr>
      <w:bookmarkStart w:id="123" w:name="_Toc18483"/>
      <w:r>
        <w:rPr>
          <w:rFonts w:hint="eastAsia" w:ascii="Times New Roman" w:hAnsi="Times New Roman" w:eastAsia="黑体" w:cs="黑体"/>
          <w:kern w:val="2"/>
          <w:szCs w:val="24"/>
        </w:rPr>
        <w:t>一、</w:t>
      </w:r>
      <w:bookmarkEnd w:id="122"/>
      <w:r>
        <w:rPr>
          <w:rFonts w:hint="eastAsia" w:ascii="Times New Roman" w:hAnsi="Times New Roman" w:eastAsia="黑体" w:cs="黑体"/>
          <w:kern w:val="2"/>
          <w:szCs w:val="24"/>
        </w:rPr>
        <w:t>增强维护国家安全能力</w:t>
      </w:r>
      <w:bookmarkEnd w:id="123"/>
    </w:p>
    <w:p w14:paraId="4EC9F696">
      <w:pPr>
        <w:overflowPunct/>
        <w:ind w:firstLine="640"/>
        <w:rPr>
          <w:rFonts w:ascii="Times New Roman" w:hAnsi="Times New Roman"/>
          <w:kern w:val="2"/>
          <w:szCs w:val="32"/>
        </w:rPr>
      </w:pPr>
      <w:r>
        <w:rPr>
          <w:rFonts w:hint="eastAsia" w:ascii="Times New Roman" w:hAnsi="Times New Roman" w:eastAsia="楷体_GB2312"/>
        </w:rPr>
        <w:t>（一）加强重点领域国家安全能力建设。</w:t>
      </w:r>
      <w:bookmarkStart w:id="124" w:name="OLE_LINK17"/>
      <w:r>
        <w:rPr>
          <w:rFonts w:hint="eastAsia" w:ascii="Times New Roman" w:hAnsi="Times New Roman"/>
          <w:kern w:val="2"/>
          <w:szCs w:val="32"/>
        </w:rPr>
        <w:t>严格落实党委（党组）国家安全责任制，推动国家安全重点领域和重要专项协调机制规范建设、高效运行。加强国家安全宣传教育，筑牢人民防线。坚持将维护政治安全摆在首位，持续提升捍卫政治安全、制度安全和意识形态安全能力。夯实国家安全基础保障，确保区域粮食、能源资源、重大基础设施安全。强化网络、人工智能、生物、低空</w:t>
      </w:r>
      <w:r>
        <w:rPr>
          <w:rFonts w:hint="eastAsia" w:ascii="Times New Roman" w:hAnsi="Times New Roman"/>
          <w:kern w:val="2"/>
          <w:szCs w:val="32"/>
          <w:lang w:val="en-US" w:eastAsia="zh-CN"/>
        </w:rPr>
        <w:t>经济</w:t>
      </w:r>
      <w:r>
        <w:rPr>
          <w:rFonts w:hint="eastAsia" w:ascii="Times New Roman" w:hAnsi="Times New Roman"/>
          <w:kern w:val="2"/>
          <w:szCs w:val="32"/>
        </w:rPr>
        <w:t>等新兴领域安全能力建设，健全网络空间安全防护体系，筑牢网络安全防线。加强人工智能应用安全监管，强化技术应用风险的动态评估与预警防范，确保新技术安全可控。健全生物安全风险防控和治理体系，加强应对生物安全风险挑战的技术能力储备。加大对低空违规飞行的监管打击力度，增强低空飞行应急处置能力，保障飞行安全和公共安全。</w:t>
      </w:r>
    </w:p>
    <w:p w14:paraId="3505B541">
      <w:pPr>
        <w:overflowPunct/>
        <w:ind w:firstLine="640"/>
        <w:rPr>
          <w:rFonts w:ascii="Times New Roman" w:hAnsi="Times New Roman"/>
          <w:kern w:val="2"/>
          <w:szCs w:val="32"/>
        </w:rPr>
      </w:pPr>
      <w:r>
        <w:rPr>
          <w:rFonts w:hint="eastAsia" w:ascii="Times New Roman" w:hAnsi="Times New Roman" w:eastAsia="楷体_GB2312"/>
        </w:rPr>
        <w:t>（二）完善国防动员体系和运行机制。</w:t>
      </w:r>
      <w:r>
        <w:rPr>
          <w:rFonts w:hint="eastAsia" w:ascii="Times New Roman" w:hAnsi="Times New Roman"/>
          <w:kern w:val="2"/>
          <w:szCs w:val="32"/>
        </w:rPr>
        <w:t>聚焦新时代国防动员使命任务，以提升组织动员力、快速反应力和支援保障力为核心，推动重大基础设施全面贯彻国防要求，加强国防教育和国防动员能力建设，构建平战结合、军民融合的国防动员运行机制。深化国防动员实战化训练，组织开展“金盾”系列演练活动，提升应急应战协同能力。健全国防动员权益保障和荣誉激励机制，调动高新技术企业、专业技术人才参与国防动员的积极性。加强国防教育，做好新时代双拥工作，用好辖区双拥主题公园等阵地，推动国防教育和双拥精神进社区、入校园、到企业，增强全民国防意识和参与能力。</w:t>
      </w:r>
    </w:p>
    <w:p w14:paraId="37075382">
      <w:pPr>
        <w:overflowPunct/>
        <w:ind w:firstLine="640"/>
        <w:rPr>
          <w:rFonts w:ascii="Times New Roman" w:hAnsi="Times New Roman"/>
          <w:kern w:val="2"/>
          <w:szCs w:val="32"/>
        </w:rPr>
      </w:pPr>
      <w:r>
        <w:rPr>
          <w:rFonts w:hint="eastAsia" w:ascii="Times New Roman" w:hAnsi="Times New Roman" w:eastAsia="楷体_GB2312"/>
        </w:rPr>
        <w:t>（三）提高防范化解重点领域风险能力。</w:t>
      </w:r>
      <w:r>
        <w:rPr>
          <w:rFonts w:hint="eastAsia" w:ascii="Times New Roman" w:hAnsi="Times New Roman"/>
          <w:kern w:val="2"/>
          <w:szCs w:val="32"/>
        </w:rPr>
        <w:t>统筹推进房地产、中小金融机构等风险有序化解，加快融资平台和城投公司改革转型，健全涉众非法金融活动常态化工作机制，确保不发生系统性和区域性风险。加强经济运行调度调节，强化重要经济指标动态监测、分析研判、预调微调。实施产业链融链固链专项行动，建立产业链供应链安全风险评估、应对机制。加强地方金融组织监管，常态化开展重点领域金融风险摸排，及时发现异常指标和苗头性风险，强化风险源头防控。落实属地风险处置责任，稳妥化解存量风险，坚决遏制新增隐性债务，有效防范化解地方金融组织、上市公司等领域风险。</w:t>
      </w:r>
    </w:p>
    <w:bookmarkEnd w:id="124"/>
    <w:p w14:paraId="2F1B7459">
      <w:pPr>
        <w:ind w:firstLine="640"/>
        <w:outlineLvl w:val="1"/>
        <w:rPr>
          <w:rFonts w:ascii="Times New Roman" w:hAnsi="Times New Roman" w:eastAsia="黑体" w:cs="黑体"/>
          <w:kern w:val="2"/>
          <w:szCs w:val="24"/>
        </w:rPr>
      </w:pPr>
      <w:bookmarkStart w:id="125" w:name="_Toc8394"/>
      <w:r>
        <w:rPr>
          <w:rFonts w:hint="eastAsia" w:ascii="Times New Roman" w:hAnsi="Times New Roman" w:eastAsia="黑体" w:cs="黑体"/>
          <w:kern w:val="2"/>
          <w:szCs w:val="24"/>
        </w:rPr>
        <w:t>二、提高公共安全治理水平</w:t>
      </w:r>
      <w:bookmarkEnd w:id="125"/>
    </w:p>
    <w:p w14:paraId="4B4B572B">
      <w:pPr>
        <w:overflowPunct/>
        <w:ind w:firstLine="640"/>
        <w:rPr>
          <w:rFonts w:ascii="Times New Roman" w:hAnsi="Times New Roman"/>
          <w:kern w:val="2"/>
          <w:szCs w:val="32"/>
        </w:rPr>
      </w:pPr>
      <w:r>
        <w:rPr>
          <w:rFonts w:hint="eastAsia" w:ascii="Times New Roman" w:hAnsi="Times New Roman" w:eastAsia="楷体_GB2312"/>
        </w:rPr>
        <w:t>（一）深化社会治安防控能力建设。</w:t>
      </w:r>
      <w:r>
        <w:rPr>
          <w:rFonts w:hint="eastAsia" w:ascii="Times New Roman" w:hAnsi="Times New Roman"/>
          <w:kern w:val="2"/>
          <w:szCs w:val="32"/>
        </w:rPr>
        <w:t>完善公共安全体系，推动公共安全治理模式向事前预防转型，建设更高水平的平安槐荫。严格落实维护社会稳定责任制，健全社会稳定风险监测预警体系和专项整治常态化机制，加强综治中心规范化建设。坚持专群结合、群防群治，深化社会治安防控能力建设，壮大群防群治力量，健全扫黑除恶常态化机制，加大预防和打击电信网络诈骗、毒品犯罪等力度，强化未成年人违法犯罪预防和治理，深化网络空间安全综合治理，坚决遏制重大群体性和恶性极端案（事）件发生。</w:t>
      </w:r>
    </w:p>
    <w:p w14:paraId="245BE87C">
      <w:pPr>
        <w:overflowPunct/>
        <w:ind w:firstLine="640"/>
        <w:rPr>
          <w:rFonts w:ascii="Times New Roman" w:hAnsi="Times New Roman"/>
          <w:kern w:val="2"/>
          <w:szCs w:val="32"/>
        </w:rPr>
      </w:pPr>
      <w:r>
        <w:rPr>
          <w:rFonts w:hint="eastAsia" w:ascii="Times New Roman" w:hAnsi="Times New Roman" w:eastAsia="楷体_GB2312"/>
        </w:rPr>
        <w:t>（二）增强现代应急管理救援能力。</w:t>
      </w:r>
      <w:r>
        <w:rPr>
          <w:rFonts w:hint="eastAsia" w:ascii="Times New Roman" w:hAnsi="Times New Roman"/>
          <w:kern w:val="2"/>
          <w:szCs w:val="32"/>
        </w:rPr>
        <w:t>提升综合防灾减灾救灾能力和重大突发公共事件处置保障能力，建强区、街道两级应急救援队伍，加强专业化培训和实战化演练，提升对极端天气、洪涝、火灾、有限空间作业等风险的预警防治能力。加强基层应急能力建设，统筹推进应急避难场所、物资储备点、微型消防站等设施建设，进一步完善地震台站建设。坚持医防融合、平战结合、中西医并重，健全监测预警、应急处置、医疗救治、物资保障相衔接的公共卫生应急体系。</w:t>
      </w:r>
    </w:p>
    <w:p w14:paraId="74F2AB0B">
      <w:pPr>
        <w:overflowPunct/>
        <w:ind w:firstLine="640"/>
        <w:rPr>
          <w:rFonts w:ascii="Times New Roman" w:hAnsi="Times New Roman"/>
          <w:kern w:val="2"/>
          <w:szCs w:val="32"/>
        </w:rPr>
      </w:pPr>
      <w:r>
        <w:rPr>
          <w:rFonts w:hint="eastAsia" w:ascii="Times New Roman" w:hAnsi="Times New Roman" w:eastAsia="楷体_GB2312"/>
        </w:rPr>
        <w:t>（三）守牢安全生产底线。</w:t>
      </w:r>
      <w:r>
        <w:rPr>
          <w:rFonts w:hint="eastAsia" w:ascii="Times New Roman" w:hAnsi="Times New Roman"/>
          <w:kern w:val="2"/>
          <w:szCs w:val="32"/>
        </w:rPr>
        <w:t>健全农产品质量安全追溯体系，强化食品药品全链条监管，推进餐饮单位“互联网＋明厨亮灶”建设。严格落实安全生产责任制，深入开展安全生产“审计式”监督检查服务，加快重点行业领域安全基础设施更新升级，强化交通运输、建筑施工、消防、危化品、燃气、特种设备等重点领域安全管理，坚决防范遏制重特大生产安全事故发生，持续提高本质安全水平。深化“食安槐荫”建设，健全食品药品安全治理体系。</w:t>
      </w:r>
    </w:p>
    <w:p w14:paraId="1C98C893">
      <w:pPr>
        <w:ind w:firstLine="640"/>
        <w:outlineLvl w:val="1"/>
        <w:rPr>
          <w:rFonts w:ascii="Times New Roman" w:hAnsi="Times New Roman" w:eastAsia="黑体" w:cs="黑体"/>
          <w:kern w:val="2"/>
          <w:szCs w:val="24"/>
        </w:rPr>
      </w:pPr>
      <w:bookmarkStart w:id="126" w:name="_Toc5856"/>
      <w:r>
        <w:rPr>
          <w:rFonts w:hint="eastAsia" w:ascii="Times New Roman" w:hAnsi="Times New Roman" w:eastAsia="黑体" w:cs="黑体"/>
          <w:kern w:val="2"/>
          <w:szCs w:val="24"/>
        </w:rPr>
        <w:t>三、优化提升社会治理效能</w:t>
      </w:r>
      <w:bookmarkEnd w:id="126"/>
    </w:p>
    <w:p w14:paraId="2C536162">
      <w:pPr>
        <w:ind w:firstLine="640"/>
        <w:rPr>
          <w:rFonts w:ascii="Times New Roman" w:hAnsi="Times New Roman"/>
        </w:rPr>
      </w:pPr>
      <w:r>
        <w:rPr>
          <w:rFonts w:hint="eastAsia" w:ascii="Times New Roman" w:hAnsi="Times New Roman" w:eastAsia="楷体_GB2312"/>
        </w:rPr>
        <w:t>（一）创新社会治理模式。</w:t>
      </w:r>
      <w:r>
        <w:rPr>
          <w:rFonts w:hint="eastAsia" w:ascii="Times New Roman" w:hAnsi="Times New Roman"/>
          <w:kern w:val="2"/>
          <w:szCs w:val="32"/>
        </w:rPr>
        <w:t>坚持系统治理、依法治理、综合治理、源头治理，加强党建引领基层治理和基层政权建设，完善共建共治共享的社会治理制度。全面实施街道履行职责事项清单，健全村（社区）工作事项准入制度。优化提升党群服务中心功能，加强基层服务管理力量配置。坚持和发展新时代“枫桥经验”，健全党组织领导的自治、法治、德治相结合的城乡基层治理体系。突出抓好新经济组织、新社会组织、新就业群体党的建设，促进行业协会商会深度融入基层治理</w:t>
      </w:r>
      <w:r>
        <w:rPr>
          <w:rFonts w:hint="eastAsia" w:ascii="Times New Roman" w:hAnsi="Times New Roman"/>
        </w:rPr>
        <w:t>。</w:t>
      </w:r>
      <w:r>
        <w:rPr>
          <w:rFonts w:hint="eastAsia" w:ascii="Times New Roman" w:hAnsi="Times New Roman"/>
          <w:kern w:val="2"/>
          <w:szCs w:val="32"/>
        </w:rPr>
        <w:t>加强社会组织培育管理，完善社会组织孵化阵地，建立“区—街道—社区（村）”社会组织孵化园，推进社会组织体系建设和品牌建设。</w:t>
      </w:r>
    </w:p>
    <w:p w14:paraId="15CBA600">
      <w:pPr>
        <w:overflowPunct/>
        <w:ind w:firstLine="640"/>
        <w:rPr>
          <w:rFonts w:ascii="Times New Roman" w:hAnsi="Times New Roman"/>
          <w:kern w:val="2"/>
          <w:szCs w:val="32"/>
        </w:rPr>
      </w:pPr>
      <w:r>
        <w:rPr>
          <w:rFonts w:hint="eastAsia" w:ascii="Times New Roman" w:hAnsi="Times New Roman" w:eastAsia="楷体_GB2312"/>
        </w:rPr>
        <w:t>（二）提升基层治理效能。</w:t>
      </w:r>
      <w:bookmarkStart w:id="127" w:name="OLE_LINK19"/>
      <w:r>
        <w:rPr>
          <w:rFonts w:hint="eastAsia" w:ascii="Times New Roman" w:hAnsi="Times New Roman"/>
          <w:kern w:val="2"/>
          <w:szCs w:val="32"/>
        </w:rPr>
        <w:t>持续开展“一街道一特色、一村（社区）一亮点”品牌创建。深化“多网合一、一网统管”改革，用好社区居委会、物业管理、网格治理“三驾马车”，打造集综治、民政、城管、应急等为一体的网格体系。加强物业服务监管，提升物业服务质量，深化“红色物业”建设。强化“智治”“数治”支撑，探索“人工智能+社区治理”新模式。加强社会工作人才和志愿者队伍建设，擦亮“志愿满槐”工作品牌，着重培养一批优秀村（社区）治理带头人。完善凝聚服务群众工作机制，提升各类社会群体的思想政治引领和服务管理水平，强化市民服务热线等公共服务平台功能，健全社会心理服务体系和危机干预机制。完善人民建议征集和矛盾纠纷多元化解机制，深入推进信访工作法治化。</w:t>
      </w:r>
      <w:bookmarkEnd w:id="127"/>
    </w:p>
    <w:p w14:paraId="40AC06B9">
      <w:pPr>
        <w:ind w:firstLine="640"/>
        <w:outlineLvl w:val="1"/>
        <w:rPr>
          <w:rFonts w:ascii="Times New Roman" w:hAnsi="Times New Roman" w:eastAsia="黑体" w:cs="黑体"/>
          <w:kern w:val="2"/>
          <w:szCs w:val="24"/>
        </w:rPr>
      </w:pPr>
      <w:bookmarkStart w:id="128" w:name="_Toc1466"/>
      <w:r>
        <w:rPr>
          <w:rFonts w:hint="eastAsia" w:ascii="Times New Roman" w:hAnsi="Times New Roman" w:eastAsia="黑体" w:cs="黑体"/>
          <w:kern w:val="2"/>
          <w:szCs w:val="24"/>
        </w:rPr>
        <w:t>四、提升城市精细化管理水平</w:t>
      </w:r>
      <w:bookmarkEnd w:id="128"/>
    </w:p>
    <w:p w14:paraId="228AADF1">
      <w:pPr>
        <w:pStyle w:val="10"/>
        <w:spacing w:after="0"/>
        <w:ind w:left="0" w:leftChars="0" w:firstLine="640"/>
        <w:rPr>
          <w:rFonts w:ascii="Times New Roman" w:hAnsi="Times New Roman" w:eastAsia="仿宋_GB2312"/>
          <w:kern w:val="2"/>
          <w:sz w:val="32"/>
          <w:szCs w:val="32"/>
        </w:rPr>
      </w:pPr>
      <w:r>
        <w:rPr>
          <w:rFonts w:hint="eastAsia" w:ascii="Times New Roman" w:hAnsi="Times New Roman" w:eastAsia="仿宋_GB2312"/>
          <w:kern w:val="2"/>
          <w:sz w:val="32"/>
          <w:szCs w:val="32"/>
        </w:rPr>
        <w:t>以“绣花功夫”推进精细化管理，实施环境卫生提升行动，优化市容市貌，加强重点路段、支路街巷等环境综合整治，推进城市小微空间改造，提升绿化水平，打造一批城市精细化管理样板路、特色路。完善环卫设施布局，推进公厕新建与改造提升，加快医学中心片区规划配套环卫设施项目建设。积极推进“智慧城管”建设，探索“一网通管、统筹协调”的数字城管新模式，打造一批智慧治理新场景。加强智能公共停车场规划建设，因地制宜发展小微停车场、立体停车设施，强化重点区域交通秩序治理。深化网格化服务管理，推动便民服务场景有序有机集成。推进海绵设施等建设，增强城市安全韧性。</w:t>
      </w:r>
    </w:p>
    <w:p w14:paraId="3D3FBC03">
      <w:pPr>
        <w:ind w:firstLine="640"/>
        <w:outlineLvl w:val="1"/>
        <w:rPr>
          <w:rFonts w:ascii="Times New Roman" w:hAnsi="Times New Roman" w:eastAsia="黑体" w:cs="黑体"/>
          <w:kern w:val="2"/>
          <w:szCs w:val="24"/>
        </w:rPr>
      </w:pPr>
      <w:bookmarkStart w:id="129" w:name="_Toc5068"/>
      <w:r>
        <w:rPr>
          <w:rFonts w:hint="eastAsia" w:ascii="Times New Roman" w:hAnsi="Times New Roman" w:eastAsia="黑体" w:cs="黑体"/>
          <w:kern w:val="2"/>
          <w:szCs w:val="24"/>
        </w:rPr>
        <w:t>五、推进社会主义民主法治建设</w:t>
      </w:r>
      <w:bookmarkEnd w:id="129"/>
    </w:p>
    <w:p w14:paraId="511C812D">
      <w:pPr>
        <w:overflowPunct/>
        <w:ind w:firstLine="640"/>
        <w:rPr>
          <w:rFonts w:ascii="Times New Roman" w:hAnsi="Times New Roman" w:eastAsia="楷体_GB2312"/>
        </w:rPr>
      </w:pPr>
      <w:r>
        <w:rPr>
          <w:rFonts w:hint="eastAsia" w:ascii="Times New Roman" w:hAnsi="Times New Roman" w:eastAsia="楷体_GB2312"/>
        </w:rPr>
        <w:t>（一）加强人民民主建设。</w:t>
      </w:r>
      <w:r>
        <w:rPr>
          <w:rFonts w:hint="eastAsia" w:ascii="Times New Roman" w:hAnsi="Times New Roman"/>
          <w:kern w:val="2"/>
          <w:szCs w:val="32"/>
        </w:rPr>
        <w:t>坚定不移走中国特色社会主义政治发展道路，坚持党的领导、人民当家作主、依法治区有机统一，发展全过程人民民主。坚持好、完善好、运行好人民代表大会制度，坚持和完善中国共产党领导的多党合作和政治协商制度。发挥工会、共青团、妇联等人民团体作用。完善大统战工作格局，发挥民主党派、工商联和无党派人士作用，做好党外知识分子、民营经济和新的社会阶层人士统战工作，提升海外联谊会等服务大局效能。铸牢中华民族共同体意识，坚持我国宗教中国化，加强宗教事务治理法治化。</w:t>
      </w:r>
    </w:p>
    <w:p w14:paraId="4D947D21">
      <w:pPr>
        <w:overflowPunct/>
        <w:ind w:firstLine="640"/>
        <w:rPr>
          <w:rFonts w:ascii="Times New Roman" w:hAnsi="Times New Roman"/>
          <w:kern w:val="2"/>
          <w:szCs w:val="32"/>
        </w:rPr>
      </w:pPr>
      <w:r>
        <w:rPr>
          <w:rFonts w:hint="eastAsia" w:ascii="Times New Roman" w:hAnsi="Times New Roman" w:eastAsia="楷体_GB2312"/>
        </w:rPr>
        <w:t>（二）加快法治槐荫建设。</w:t>
      </w:r>
      <w:r>
        <w:rPr>
          <w:rFonts w:hint="eastAsia" w:ascii="Times New Roman" w:hAnsi="Times New Roman"/>
          <w:kern w:val="2"/>
          <w:szCs w:val="32"/>
        </w:rPr>
        <w:t>坚持全面推进科学立法、严格执法、公正司法、全民守法，全面推进各方面工作法治化，加快推进法治槐荫、法治政府、法治社会建设。全面推行依法治区，严格履行重大行政决策程序，健全合法性审查机制，落实行政规范性文件备案审查，完善行政执法监督机制，推进行政执法公示、执法全过程记录、重大执法决定法制审核“三项制度”全覆盖，促进严格规范公正文明执法。加强领导干部依法办事监督检查，落实综合性法治评价工作机制。加强法治宣传教育，深入实施“九五”普法规划，构建线上线下融合的法治宣传矩阵。推进法治社会建设，持续培育村（社区）“法治带头人”“法律明白人”队伍，加强基层法治队伍建设。</w:t>
      </w:r>
    </w:p>
    <w:p w14:paraId="54913666">
      <w:pPr>
        <w:ind w:firstLine="640"/>
        <w:jc w:val="center"/>
        <w:outlineLvl w:val="0"/>
        <w:rPr>
          <w:rFonts w:ascii="Times New Roman" w:hAnsi="Times New Roman" w:eastAsia="方正小标宋简体" w:cs="Times New Roman"/>
          <w:bCs/>
          <w:spacing w:val="-4"/>
          <w:kern w:val="2"/>
          <w:sz w:val="36"/>
          <w:szCs w:val="36"/>
        </w:rPr>
      </w:pPr>
      <w:bookmarkStart w:id="130" w:name="_Toc31481"/>
      <w:r>
        <w:rPr>
          <w:rFonts w:ascii="Times New Roman" w:hAnsi="Times New Roman"/>
        </w:rPr>
        <w:br w:type="page"/>
      </w:r>
      <w:bookmarkEnd w:id="130"/>
      <w:bookmarkStart w:id="131" w:name="_Toc3219"/>
      <w:bookmarkStart w:id="132" w:name="_Toc12261"/>
      <w:r>
        <w:rPr>
          <w:rFonts w:hint="eastAsia" w:ascii="Times New Roman" w:hAnsi="Times New Roman" w:eastAsia="方正小标宋简体" w:cs="Times New Roman"/>
          <w:bCs/>
          <w:spacing w:val="-4"/>
          <w:kern w:val="2"/>
          <w:sz w:val="36"/>
          <w:szCs w:val="36"/>
        </w:rPr>
        <w:t>第十</w:t>
      </w:r>
      <w:bookmarkEnd w:id="131"/>
      <w:r>
        <w:rPr>
          <w:rFonts w:hint="eastAsia" w:ascii="Times New Roman" w:hAnsi="Times New Roman" w:eastAsia="方正小标宋简体" w:cs="Times New Roman"/>
          <w:bCs/>
          <w:spacing w:val="-4"/>
          <w:kern w:val="2"/>
          <w:sz w:val="36"/>
          <w:szCs w:val="36"/>
        </w:rPr>
        <w:t>一章  加强党的全面领导，团结奋斗谱写中国式现代化槐荫实践新篇章</w:t>
      </w:r>
      <w:bookmarkEnd w:id="132"/>
    </w:p>
    <w:p w14:paraId="61E0D7F8">
      <w:pPr>
        <w:ind w:firstLine="640"/>
        <w:rPr>
          <w:rFonts w:ascii="Times New Roman" w:hAnsi="Times New Roman"/>
        </w:rPr>
      </w:pPr>
    </w:p>
    <w:p w14:paraId="09CA3B09">
      <w:pPr>
        <w:ind w:firstLine="640"/>
        <w:rPr>
          <w:rFonts w:ascii="Times New Roman" w:hAnsi="Times New Roman" w:cs="Times New Roman"/>
        </w:rPr>
      </w:pPr>
      <w:bookmarkStart w:id="133" w:name="_Hlk216111644"/>
      <w:r>
        <w:rPr>
          <w:rFonts w:hint="eastAsia" w:ascii="Times New Roman" w:hAnsi="Times New Roman" w:cs="Times New Roman"/>
        </w:rPr>
        <w:t>坚持党中央集中统一领导，全面加强党的建设，持之以恒推进全面从严治党，增强党的政治领导力、思想引领力、群众组织力、社会号召力，提高党领导经济社会发展能力和水平，强化规划制定落实的刚性约束，为推进新时代社会主义现代化强区建设凝聚磅礴力量。</w:t>
      </w:r>
    </w:p>
    <w:p w14:paraId="2E477800">
      <w:pPr>
        <w:tabs>
          <w:tab w:val="right" w:leader="dot" w:pos="8777"/>
          <w:tab w:val="right" w:leader="dot" w:pos="9060"/>
        </w:tabs>
        <w:ind w:firstLine="640"/>
        <w:outlineLvl w:val="1"/>
        <w:rPr>
          <w:rFonts w:ascii="Times New Roman" w:hAnsi="Times New Roman" w:eastAsia="黑体" w:cs="Times New Roman"/>
          <w:kern w:val="2"/>
          <w:szCs w:val="32"/>
        </w:rPr>
      </w:pPr>
      <w:bookmarkStart w:id="134" w:name="_Toc28021"/>
      <w:bookmarkStart w:id="135" w:name="_Toc17946"/>
      <w:r>
        <w:rPr>
          <w:rFonts w:ascii="Times New Roman" w:hAnsi="Times New Roman" w:eastAsia="黑体" w:cs="Times New Roman"/>
          <w:kern w:val="2"/>
          <w:szCs w:val="32"/>
        </w:rPr>
        <w:t>一、</w:t>
      </w:r>
      <w:bookmarkEnd w:id="134"/>
      <w:r>
        <w:rPr>
          <w:rFonts w:hint="eastAsia" w:ascii="Times New Roman" w:hAnsi="Times New Roman" w:eastAsia="黑体" w:cs="Times New Roman"/>
          <w:kern w:val="2"/>
          <w:szCs w:val="32"/>
        </w:rPr>
        <w:t>加强党的全面领导</w:t>
      </w:r>
      <w:bookmarkEnd w:id="135"/>
    </w:p>
    <w:p w14:paraId="06D36687">
      <w:pPr>
        <w:ind w:firstLine="640"/>
        <w:rPr>
          <w:rFonts w:ascii="Times New Roman" w:hAnsi="Times New Roman" w:eastAsia="黑体" w:cs="Times New Roman"/>
          <w:kern w:val="2"/>
          <w:szCs w:val="32"/>
        </w:rPr>
      </w:pPr>
      <w:r>
        <w:rPr>
          <w:rFonts w:hint="eastAsia" w:ascii="Times New Roman" w:hAnsi="Times New Roman"/>
        </w:rPr>
        <w:t>深入学习贯彻习近平新时代中国特色社会主义思想，持续用党的创新理论统一思想、统一意志、统一行动，坚定拥护“两个确立”、坚决做到“两个维护”，确保习近平总书记重要讲话、重要指示批示精神和党中央重大决策部署在槐荫落地生根。发展党内民主，健全和落实民主集中制，落实党委研究经济社会发展战略、制定重大政策、推进任务落实的工作机制，建立重大事项集体决策和专家审议制度，确保科学决策、民主决策、依法决策。压实各级党组织领导责任和实施职责，构建区街一体、部门协作、社会联动的高效运转机制。坚持正确用人导向，把政治标准放在首位，树立和践行正确政绩观，完善干部考核评价机制，推进领导干部能上能下常态化。强化教育培训和实践锻炼，提高干部队伍现代化建设本领。坚持严管厚爱结合、激励约束并重，加强对干部全方位管理和经常性监督，旗帜鲜明为敢于担当作为者撑腰鼓劲。统筹推进各领域基层党组织建设，增强党组织政治功能和组织功能，发挥党员先锋模范作用。健全党统一领导、全面覆盖、权威高效的监督体系，推进政治监督具体化精准化常态化，以党内监督为主导促进各类监督贯通协调，加强对权力配置、运行的规范和监督。锲而不舍落实中央八项规定精神，推进作风建设常态化长效化。深入开展整治形式主义为基层减负工作。始终保持反腐败高压态势，一体推进不敢腐、不能腐、不想腐，营造风清气正的政治生态。</w:t>
      </w:r>
      <w:bookmarkStart w:id="136" w:name="_Toc15691"/>
    </w:p>
    <w:bookmarkEnd w:id="133"/>
    <w:p w14:paraId="77110A4D">
      <w:pPr>
        <w:tabs>
          <w:tab w:val="right" w:leader="dot" w:pos="8777"/>
          <w:tab w:val="right" w:leader="dot" w:pos="9060"/>
        </w:tabs>
        <w:ind w:firstLine="640"/>
        <w:outlineLvl w:val="1"/>
        <w:rPr>
          <w:rFonts w:ascii="Times New Roman" w:hAnsi="Times New Roman" w:eastAsia="黑体" w:cs="Times New Roman"/>
          <w:kern w:val="2"/>
          <w:szCs w:val="32"/>
        </w:rPr>
      </w:pPr>
      <w:bookmarkStart w:id="137" w:name="_Toc19376"/>
      <w:r>
        <w:rPr>
          <w:rFonts w:ascii="Times New Roman" w:hAnsi="Times New Roman" w:eastAsia="黑体" w:cs="Times New Roman"/>
          <w:kern w:val="2"/>
          <w:szCs w:val="32"/>
        </w:rPr>
        <w:t>二</w:t>
      </w:r>
      <w:bookmarkEnd w:id="136"/>
      <w:r>
        <w:rPr>
          <w:rFonts w:ascii="Times New Roman" w:hAnsi="Times New Roman" w:eastAsia="黑体" w:cs="Times New Roman"/>
          <w:kern w:val="2"/>
          <w:szCs w:val="32"/>
        </w:rPr>
        <w:t>、</w:t>
      </w:r>
      <w:r>
        <w:rPr>
          <w:rFonts w:hint="eastAsia" w:ascii="Times New Roman" w:hAnsi="Times New Roman" w:eastAsia="黑体" w:cs="Times New Roman"/>
          <w:kern w:val="2"/>
          <w:szCs w:val="32"/>
        </w:rPr>
        <w:t>强化规划实施监督</w:t>
      </w:r>
      <w:bookmarkEnd w:id="137"/>
    </w:p>
    <w:p w14:paraId="63C53431">
      <w:pPr>
        <w:ind w:firstLine="640"/>
        <w:rPr>
          <w:rFonts w:ascii="Times New Roman" w:hAnsi="Times New Roman" w:cs="Times New Roman"/>
        </w:rPr>
      </w:pPr>
      <w:r>
        <w:rPr>
          <w:rFonts w:hint="eastAsia" w:ascii="Times New Roman" w:hAnsi="Times New Roman" w:cs="Times New Roman"/>
        </w:rPr>
        <w:t>强化国土空间规划基础作用，形成定位准确、边界清晰、功能互补、统一衔接的全区规划体系。加强规划统筹</w:t>
      </w:r>
      <w:r>
        <w:rPr>
          <w:rFonts w:hint="eastAsia" w:ascii="Times New Roman" w:hAnsi="Times New Roman" w:cs="Times New Roman"/>
          <w:lang w:eastAsia="zh-CN"/>
        </w:rPr>
        <w:t>，严格控制规划数量，进一步提升规划编制质量。</w:t>
      </w:r>
      <w:r>
        <w:rPr>
          <w:rFonts w:hint="eastAsia" w:ascii="Times New Roman" w:hAnsi="Times New Roman" w:cs="Times New Roman"/>
        </w:rPr>
        <w:t>健全政策协调和工作协同机制，加强宏观政策取向一致性评估，强化规划评估监测、跟踪问效、督促检查，确保各项目标任务顺利实现。加强规划实施监测评估，科学开展规划实施中期评估和总结评估，根据评估情况及时提出加强和改进规划实施的政策举措。规划实施情况要依法接受全区人民代表大会及其常务委员会的监督，接受人民政协民主监督，接受群众监督和舆论监督。</w:t>
      </w:r>
    </w:p>
    <w:p w14:paraId="1F701E55">
      <w:pPr>
        <w:ind w:firstLine="640" w:firstLineChars="0"/>
        <w:outlineLvl w:val="1"/>
        <w:rPr>
          <w:rFonts w:ascii="Times New Roman" w:hAnsi="Times New Roman" w:eastAsia="黑体" w:cs="黑体"/>
          <w:kern w:val="2"/>
          <w:szCs w:val="32"/>
        </w:rPr>
      </w:pPr>
      <w:bookmarkStart w:id="138" w:name="_Toc8134"/>
      <w:bookmarkStart w:id="139" w:name="_Toc2878"/>
      <w:r>
        <w:rPr>
          <w:rFonts w:ascii="Times New Roman" w:hAnsi="Times New Roman" w:eastAsia="黑体" w:cs="Times New Roman"/>
          <w:kern w:val="2"/>
          <w:szCs w:val="32"/>
        </w:rPr>
        <w:t>三</w:t>
      </w:r>
      <w:bookmarkEnd w:id="138"/>
      <w:r>
        <w:rPr>
          <w:rFonts w:ascii="Times New Roman" w:hAnsi="Times New Roman" w:eastAsia="黑体" w:cs="Times New Roman"/>
          <w:kern w:val="2"/>
          <w:szCs w:val="32"/>
        </w:rPr>
        <w:t>、</w:t>
      </w:r>
      <w:bookmarkStart w:id="140" w:name="_Toc17058"/>
      <w:bookmarkStart w:id="141" w:name="_Toc17159"/>
      <w:bookmarkStart w:id="142" w:name="_Toc4411"/>
      <w:bookmarkStart w:id="143" w:name="_Toc32020"/>
      <w:r>
        <w:rPr>
          <w:rFonts w:hint="eastAsia" w:ascii="Times New Roman" w:hAnsi="Times New Roman" w:eastAsia="黑体" w:cs="黑体"/>
          <w:kern w:val="2"/>
          <w:szCs w:val="32"/>
        </w:rPr>
        <w:t>强化重大项目支撑</w:t>
      </w:r>
      <w:bookmarkEnd w:id="139"/>
      <w:bookmarkEnd w:id="140"/>
      <w:bookmarkEnd w:id="141"/>
      <w:bookmarkEnd w:id="142"/>
      <w:bookmarkEnd w:id="143"/>
    </w:p>
    <w:p w14:paraId="2B487740">
      <w:pPr>
        <w:ind w:firstLine="640"/>
        <w:rPr>
          <w:rFonts w:ascii="Times New Roman" w:hAnsi="Times New Roman" w:cs="Times New Roman"/>
        </w:rPr>
      </w:pPr>
      <w:r>
        <w:rPr>
          <w:rFonts w:hint="eastAsia" w:ascii="Times New Roman" w:hAnsi="Times New Roman"/>
          <w:kern w:val="2"/>
          <w:szCs w:val="24"/>
        </w:rPr>
        <w:t>推动规划项目布局与要素保障、资源环境、基础设施条件相匹配，深化“要素跟着项目走”，遴选确定一批标志性引领性重大项目，滚动实施、梯次推进。围绕现代化产业体系、城市更新、民生福祉等重点领域，组织实施好一批关系全局和长远发展的重大项目，优先保障土地、数据、人才、环保、用地等资源要素，科学编制土地征收成片开发方案。强化项目建设全过程管理，推进项目精益管理，提高项目建设的协调服务水平。</w:t>
      </w:r>
    </w:p>
    <w:p w14:paraId="161399F6">
      <w:pPr>
        <w:tabs>
          <w:tab w:val="right" w:leader="dot" w:pos="8777"/>
          <w:tab w:val="right" w:leader="dot" w:pos="9060"/>
        </w:tabs>
        <w:ind w:firstLine="640"/>
        <w:outlineLvl w:val="1"/>
        <w:rPr>
          <w:rFonts w:ascii="Times New Roman" w:hAnsi="Times New Roman" w:eastAsia="黑体" w:cs="Times New Roman"/>
          <w:kern w:val="2"/>
          <w:szCs w:val="32"/>
        </w:rPr>
      </w:pPr>
      <w:bookmarkStart w:id="144" w:name="_Toc17934"/>
      <w:bookmarkStart w:id="145" w:name="_Toc8405"/>
      <w:r>
        <w:rPr>
          <w:rFonts w:ascii="Times New Roman" w:hAnsi="Times New Roman" w:eastAsia="黑体" w:cs="Times New Roman"/>
          <w:kern w:val="2"/>
          <w:szCs w:val="32"/>
        </w:rPr>
        <w:t>四</w:t>
      </w:r>
      <w:bookmarkEnd w:id="144"/>
      <w:r>
        <w:rPr>
          <w:rFonts w:ascii="Times New Roman" w:hAnsi="Times New Roman" w:eastAsia="黑体" w:cs="Times New Roman"/>
          <w:kern w:val="2"/>
          <w:szCs w:val="32"/>
        </w:rPr>
        <w:t>、</w:t>
      </w:r>
      <w:r>
        <w:rPr>
          <w:rFonts w:hint="eastAsia" w:ascii="Times New Roman" w:hAnsi="Times New Roman" w:eastAsia="黑体" w:cs="Times New Roman"/>
          <w:kern w:val="2"/>
          <w:szCs w:val="32"/>
        </w:rPr>
        <w:t>营造良好发展氛围</w:t>
      </w:r>
      <w:bookmarkEnd w:id="145"/>
    </w:p>
    <w:p w14:paraId="09061F54">
      <w:pPr>
        <w:ind w:firstLine="640"/>
        <w:rPr>
          <w:rFonts w:ascii="Times New Roman" w:hAnsi="Times New Roman"/>
          <w:kern w:val="2"/>
          <w:szCs w:val="32"/>
        </w:rPr>
      </w:pPr>
      <w:r>
        <w:rPr>
          <w:rFonts w:hint="eastAsia" w:ascii="Times New Roman" w:hAnsi="Times New Roman" w:cs="Times New Roman"/>
        </w:rPr>
        <w:t>坚持把宣传解读“十五五”规划作为重要工作，通过各类媒体平台和基层宣传阵地，全方位、多角度阐释规划的战略意义、目标任务和政策举措，让规划内容家喻户晓、深入人心。鼓励社会各界积极参与规划实施，畅通意见建议反馈渠道。大力弘扬求真务实、担当作为的实干精神，宣传规划实施中的先进典型和成功经验，广泛凝聚社会共识，营造全社会共同参与的良好氛围</w:t>
      </w:r>
      <w:r>
        <w:rPr>
          <w:rFonts w:ascii="Times New Roman" w:hAnsi="Times New Roman" w:cs="Times New Roman"/>
        </w:rPr>
        <w:t>。</w:t>
      </w:r>
    </w:p>
    <w:sectPr>
      <w:footerReference r:id="rId13"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embedRegular r:id="rId1" w:fontKey="{C2F451D4-BF4C-4807-B3F2-10260E29FC3C}"/>
  </w:font>
  <w:font w:name="宋体">
    <w:panose1 w:val="02010600030101010101"/>
    <w:charset w:val="B1"/>
    <w:family w:val="auto"/>
    <w:pitch w:val="default"/>
    <w:sig w:usb0="00000203" w:usb1="288F0000" w:usb2="00000006" w:usb3="00000000" w:csb0="00040001" w:csb1="00000000"/>
    <w:embedRegular r:id="rId2" w:fontKey="{AA73CA0A-DD4B-415B-836F-9C1F7A138CE8}"/>
  </w:font>
  <w:font w:name="Wingdings">
    <w:panose1 w:val="05000000000000000000"/>
    <w:charset w:val="02"/>
    <w:family w:val="auto"/>
    <w:pitch w:val="default"/>
    <w:sig w:usb0="00000000" w:usb1="00000000" w:usb2="00000000" w:usb3="00000000" w:csb0="80000000" w:csb1="00000000"/>
    <w:embedRegular r:id="rId3" w:fontKey="{B4AD170D-AF05-4D75-83A4-E47BBFB52F5D}"/>
  </w:font>
  <w:font w:name="Arial">
    <w:panose1 w:val="020B0604020202020204"/>
    <w:charset w:val="01"/>
    <w:family w:val="swiss"/>
    <w:pitch w:val="default"/>
    <w:sig w:usb0="E0002EFF" w:usb1="C000785B" w:usb2="00000009" w:usb3="00000000" w:csb0="400001FF" w:csb1="FFFF0000"/>
    <w:embedRegular r:id="rId4" w:fontKey="{E0B5A2C4-6EC7-4600-BA4F-93A0F4B25193}"/>
  </w:font>
  <w:font w:name="黑体">
    <w:panose1 w:val="02010609060101010101"/>
    <w:charset w:val="86"/>
    <w:family w:val="auto"/>
    <w:pitch w:val="default"/>
    <w:sig w:usb0="800002BF" w:usb1="38CF7CFA" w:usb2="00000016" w:usb3="00000000" w:csb0="00040001" w:csb1="00000000"/>
    <w:embedRegular r:id="rId5" w:fontKey="{9DF1C3BB-175D-4D01-95FF-65AD9360EC50}"/>
  </w:font>
  <w:font w:name="Courier New">
    <w:panose1 w:val="02070309020205020404"/>
    <w:charset w:val="01"/>
    <w:family w:val="modern"/>
    <w:pitch w:val="default"/>
    <w:sig w:usb0="E0002EFF" w:usb1="C0007843" w:usb2="00000009" w:usb3="00000000" w:csb0="400001FF" w:csb1="FFFF0000"/>
    <w:embedRegular r:id="rId6" w:fontKey="{DB6E72B3-0A3E-4CA6-B6C1-E30CA11BCE77}"/>
  </w:font>
  <w:font w:name="Symbol">
    <w:panose1 w:val="05050102010706020507"/>
    <w:charset w:val="02"/>
    <w:family w:val="roman"/>
    <w:pitch w:val="default"/>
    <w:sig w:usb0="00000000" w:usb1="00000000" w:usb2="00000000" w:usb3="00000000" w:csb0="80000000" w:csb1="00000000"/>
    <w:embedRegular r:id="rId7" w:fontKey="{356DA1C0-13CA-4626-AAD1-F1845A8BC661}"/>
  </w:font>
  <w:font w:name="Calibri">
    <w:panose1 w:val="020F0502020204030204"/>
    <w:charset w:val="00"/>
    <w:family w:val="swiss"/>
    <w:pitch w:val="default"/>
    <w:sig w:usb0="E4002EFF" w:usb1="C000247B" w:usb2="00000009" w:usb3="00000000" w:csb0="200001FF" w:csb1="00000000"/>
    <w:embedRegular r:id="rId8" w:fontKey="{298E07A4-ED8C-488A-9990-9A3499C86843}"/>
  </w:font>
  <w:font w:name="仿宋_GB2312">
    <w:panose1 w:val="02010609030101010101"/>
    <w:charset w:val="86"/>
    <w:family w:val="modern"/>
    <w:pitch w:val="default"/>
    <w:sig w:usb0="00000001" w:usb1="080E0000" w:usb2="00000000" w:usb3="00000000" w:csb0="00040000" w:csb1="00000000"/>
    <w:embedRegular r:id="rId9" w:fontKey="{F73F3275-9091-49DB-9384-19CCEBF6FD3F}"/>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10" w:fontKey="{25D14C86-BF2C-41B4-B0E1-46D8BDAEAC7B}"/>
  </w:font>
  <w:font w:name="Consolas">
    <w:panose1 w:val="020B0609020204030204"/>
    <w:charset w:val="00"/>
    <w:family w:val="modern"/>
    <w:pitch w:val="default"/>
    <w:sig w:usb0="E00006FF" w:usb1="0000FCFF" w:usb2="00000001" w:usb3="00000000" w:csb0="6000019F" w:csb1="DFD70000"/>
    <w:embedRegular r:id="rId11" w:fontKey="{0C5CE0CA-C04C-4F88-8389-1BAF97B00F0F}"/>
  </w:font>
  <w:font w:name="仿宋">
    <w:panose1 w:val="02010609060101010101"/>
    <w:charset w:val="86"/>
    <w:family w:val="modern"/>
    <w:pitch w:val="default"/>
    <w:sig w:usb0="800002BF" w:usb1="38CF7CFA" w:usb2="00000016" w:usb3="00000000" w:csb0="00040001" w:csb1="00000000"/>
    <w:embedRegular r:id="rId12" w:fontKey="{4E1D4ADF-DBF3-4D31-8195-36EAF33B5F2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3" w:fontKey="{A27CBE36-84FA-4662-A61C-20D669A680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E6553">
    <w:pPr>
      <w:pStyle w:val="13"/>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2955"/>
                          </w:sdtPr>
                          <w:sdtEndPr>
                            <w:rPr>
                              <w:sz w:val="28"/>
                              <w:szCs w:val="28"/>
                            </w:rPr>
                          </w:sdtEndPr>
                          <w:sdtContent>
                            <w:p w14:paraId="32E4BC34">
                              <w:pPr>
                                <w:pStyle w:val="13"/>
                                <w:ind w:firstLine="360"/>
                                <w:rPr>
                                  <w:rFonts w:hint="eastAsia"/>
                                </w:rPr>
                              </w:pPr>
                            </w:p>
                          </w:sdtContent>
                        </w:sdt>
                        <w:p w14:paraId="0C14D5FC">
                          <w:pPr>
                            <w:ind w:firstLine="640"/>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47472955"/>
                    </w:sdtPr>
                    <w:sdtEndPr>
                      <w:rPr>
                        <w:sz w:val="28"/>
                        <w:szCs w:val="28"/>
                      </w:rPr>
                    </w:sdtEndPr>
                    <w:sdtContent>
                      <w:p w14:paraId="32E4BC34">
                        <w:pPr>
                          <w:pStyle w:val="13"/>
                          <w:ind w:firstLine="360"/>
                          <w:rPr>
                            <w:rFonts w:hint="eastAsia"/>
                          </w:rPr>
                        </w:pPr>
                      </w:p>
                    </w:sdtContent>
                  </w:sdt>
                  <w:p w14:paraId="0C14D5FC">
                    <w:pPr>
                      <w:ind w:firstLine="640"/>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E989D">
    <w:pPr>
      <w:pStyle w:val="13"/>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88CD4">
    <w:pPr>
      <w:pStyle w:val="13"/>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66609"/>
    </w:sdtPr>
    <w:sdtEndPr>
      <w:rPr>
        <w:sz w:val="24"/>
        <w:szCs w:val="24"/>
      </w:rPr>
    </w:sdtEndPr>
    <w:sdtContent>
      <w:p w14:paraId="634C97F2">
        <w:pPr>
          <w:pStyle w:val="13"/>
          <w:ind w:firstLine="360"/>
          <w:jc w:val="center"/>
          <w:rPr>
            <w:rFonts w:hint="eastAsia"/>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p>
    </w:sdtContent>
  </w:sdt>
  <w:p w14:paraId="0C6E021F">
    <w:pPr>
      <w:pStyle w:val="13"/>
      <w:ind w:firstLine="360"/>
      <w:jc w:val="cente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3024441"/>
    </w:sdtPr>
    <w:sdtEndPr>
      <w:rPr>
        <w:rFonts w:ascii="Times New Roman" w:hAnsi="Times New Roman" w:cs="Times New Roman"/>
        <w:sz w:val="24"/>
        <w:szCs w:val="24"/>
      </w:rPr>
    </w:sdtEndPr>
    <w:sdtContent>
      <w:p w14:paraId="7E340DBD">
        <w:pPr>
          <w:pStyle w:val="13"/>
          <w:ind w:firstLine="360"/>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sdtContent>
  </w:sdt>
  <w:p w14:paraId="2E0008DE">
    <w:pPr>
      <w:pStyle w:val="13"/>
      <w:ind w:firstLine="360"/>
      <w:jc w:val="cente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55AA3">
    <w:pPr>
      <w:pStyle w:val="13"/>
      <w:ind w:firstLine="560"/>
      <w:jc w:val="center"/>
      <w:rPr>
        <w:rFonts w:hint="eastAsia"/>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1262771" name="文本框 6312627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52F3BB">
                          <w:pPr>
                            <w:pStyle w:val="13"/>
                            <w:ind w:firstLine="480"/>
                            <w:jc w:val="center"/>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Xe64zAgAAZQQAAA4AAAAAAAAAAQAgAAAAHwEAAGRycy9lMm9Eb2MueG1sUEsF&#10;BgAAAAAGAAYAWQEAAMQFAAAAAA==&#10;">
              <v:fill on="f" focussize="0,0"/>
              <v:stroke on="f" weight="0.5pt"/>
              <v:imagedata o:title=""/>
              <o:lock v:ext="edit" aspectratio="f"/>
              <v:textbox inset="0mm,0mm,0mm,0mm" style="mso-fit-shape-to-text:t;">
                <w:txbxContent>
                  <w:p w14:paraId="4252F3BB">
                    <w:pPr>
                      <w:pStyle w:val="13"/>
                      <w:ind w:firstLine="480"/>
                      <w:jc w:val="center"/>
                      <w:rPr>
                        <w:rFonts w:hint="eastAsia"/>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5</w:t>
                    </w:r>
                    <w:r>
                      <w:rPr>
                        <w:sz w:val="24"/>
                        <w:szCs w:val="24"/>
                      </w:rPr>
                      <w:fldChar w:fldCharType="end"/>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81187999" name="文本框 7811879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BBDA3">
                          <w:pPr>
                            <w:ind w:firstLine="640"/>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N4dgEzUCAABlBAAADgAAAAAAAAABACAAAAAfAQAAZHJzL2Uyb0RvYy54bWxQ&#10;SwUGAAAAAAYABgBZAQAAxgUAAAAA&#10;">
              <v:fill on="f" focussize="0,0"/>
              <v:stroke on="f" weight="0.5pt"/>
              <v:imagedata o:title=""/>
              <o:lock v:ext="edit" aspectratio="f"/>
              <v:textbox inset="0mm,0mm,0mm,0mm" style="mso-fit-shape-to-text:t;">
                <w:txbxContent>
                  <w:p w14:paraId="28DBBDA3">
                    <w:pPr>
                      <w:ind w:firstLine="640"/>
                      <w:rPr>
                        <w:rFonts w:hint="eastAsia"/>
                      </w:rPr>
                    </w:pP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838249" name="文本框 75838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97187371"/>
                            <w:showingPlcHdr/>
                          </w:sdtPr>
                          <w:sdtEndPr>
                            <w:rPr>
                              <w:sz w:val="28"/>
                              <w:szCs w:val="28"/>
                            </w:rPr>
                          </w:sdtEndPr>
                          <w:sdtContent>
                            <w:p w14:paraId="4EAD835E">
                              <w:pPr>
                                <w:pStyle w:val="13"/>
                                <w:ind w:firstLine="360"/>
                                <w:jc w:val="center"/>
                                <w:rPr>
                                  <w:rFonts w:hint="eastAsia"/>
                                  <w:sz w:val="28"/>
                                  <w:szCs w:val="28"/>
                                </w:rPr>
                              </w:pPr>
                              <w:r>
                                <w:rPr>
                                  <w:rFonts w:hint="eastAsia"/>
                                </w:rPr>
                                <w:t xml:space="preserve">     </w:t>
                              </w:r>
                            </w:p>
                          </w:sdtContent>
                        </w:sdt>
                        <w:p w14:paraId="71957C32">
                          <w:pPr>
                            <w:pStyle w:val="10"/>
                            <w:ind w:left="640"/>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RG7VWjUCAABjBAAADgAAAAAAAAABACAAAAAfAQAAZHJzL2Uyb0RvYy54bWxQ&#10;SwUGAAAAAAYABgBZAQAAxgUAAAAA&#10;">
              <v:fill on="f" focussize="0,0"/>
              <v:stroke on="f" weight="0.5pt"/>
              <v:imagedata o:title=""/>
              <o:lock v:ext="edit" aspectratio="f"/>
              <v:textbox inset="0mm,0mm,0mm,0mm" style="mso-fit-shape-to-text:t;">
                <w:txbxContent>
                  <w:sdt>
                    <w:sdtPr>
                      <w:id w:val="797187371"/>
                      <w:showingPlcHdr/>
                    </w:sdtPr>
                    <w:sdtEndPr>
                      <w:rPr>
                        <w:sz w:val="28"/>
                        <w:szCs w:val="28"/>
                      </w:rPr>
                    </w:sdtEndPr>
                    <w:sdtContent>
                      <w:p w14:paraId="4EAD835E">
                        <w:pPr>
                          <w:pStyle w:val="13"/>
                          <w:ind w:firstLine="360"/>
                          <w:jc w:val="center"/>
                          <w:rPr>
                            <w:rFonts w:hint="eastAsia"/>
                            <w:sz w:val="28"/>
                            <w:szCs w:val="28"/>
                          </w:rPr>
                        </w:pPr>
                        <w:r>
                          <w:rPr>
                            <w:rFonts w:hint="eastAsia"/>
                          </w:rPr>
                          <w:t xml:space="preserve">     </w:t>
                        </w:r>
                      </w:p>
                    </w:sdtContent>
                  </w:sdt>
                  <w:p w14:paraId="71957C32">
                    <w:pPr>
                      <w:pStyle w:val="10"/>
                      <w:ind w:left="640"/>
                      <w:rPr>
                        <w:rFonts w:hint="eastAsia"/>
                      </w:rPr>
                    </w:pPr>
                  </w:p>
                </w:txbxContent>
              </v:textbox>
            </v:shape>
          </w:pict>
        </mc:Fallback>
      </mc:AlternateContent>
    </w:r>
  </w:p>
  <w:p w14:paraId="52F300B2">
    <w:pPr>
      <w:pStyle w:val="13"/>
      <w:ind w:firstLine="36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04F0E">
    <w:pPr>
      <w:pStyle w:val="14"/>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99498">
    <w:pPr>
      <w:pStyle w:val="14"/>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F637">
    <w:pPr>
      <w:pStyle w:val="14"/>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AFFC2"/>
    <w:multiLevelType w:val="singleLevel"/>
    <w:tmpl w:val="A13AFFC2"/>
    <w:lvl w:ilvl="0" w:tentative="0">
      <w:start w:val="1"/>
      <w:numFmt w:val="chineseCounting"/>
      <w:suff w:val="nothing"/>
      <w:lvlText w:val="（%1）"/>
      <w:lvlJc w:val="left"/>
      <w:rPr>
        <w:rFonts w:hint="eastAsia"/>
      </w:rPr>
    </w:lvl>
  </w:abstractNum>
  <w:abstractNum w:abstractNumId="1">
    <w:nsid w:val="2D270572"/>
    <w:multiLevelType w:val="singleLevel"/>
    <w:tmpl w:val="2D270572"/>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FC"/>
    <w:rsid w:val="000032FD"/>
    <w:rsid w:val="0000376D"/>
    <w:rsid w:val="00003D15"/>
    <w:rsid w:val="00005051"/>
    <w:rsid w:val="000051B2"/>
    <w:rsid w:val="0000564B"/>
    <w:rsid w:val="00005FF6"/>
    <w:rsid w:val="00007BCB"/>
    <w:rsid w:val="00010455"/>
    <w:rsid w:val="000122F8"/>
    <w:rsid w:val="000131B5"/>
    <w:rsid w:val="00013C77"/>
    <w:rsid w:val="0001526D"/>
    <w:rsid w:val="000159C8"/>
    <w:rsid w:val="00021F42"/>
    <w:rsid w:val="00023888"/>
    <w:rsid w:val="00025335"/>
    <w:rsid w:val="00025E64"/>
    <w:rsid w:val="00026834"/>
    <w:rsid w:val="00034BCE"/>
    <w:rsid w:val="000351CD"/>
    <w:rsid w:val="000354EC"/>
    <w:rsid w:val="00035679"/>
    <w:rsid w:val="00035737"/>
    <w:rsid w:val="000404FE"/>
    <w:rsid w:val="000409B4"/>
    <w:rsid w:val="00040A65"/>
    <w:rsid w:val="00043B57"/>
    <w:rsid w:val="000444EE"/>
    <w:rsid w:val="00045A6C"/>
    <w:rsid w:val="000470EA"/>
    <w:rsid w:val="00050664"/>
    <w:rsid w:val="000511CB"/>
    <w:rsid w:val="000523BB"/>
    <w:rsid w:val="00053C90"/>
    <w:rsid w:val="000550D6"/>
    <w:rsid w:val="00055F4B"/>
    <w:rsid w:val="00056799"/>
    <w:rsid w:val="00061777"/>
    <w:rsid w:val="00067C81"/>
    <w:rsid w:val="00072248"/>
    <w:rsid w:val="00073F42"/>
    <w:rsid w:val="00074992"/>
    <w:rsid w:val="00074FEF"/>
    <w:rsid w:val="00075A84"/>
    <w:rsid w:val="00076506"/>
    <w:rsid w:val="00077B9A"/>
    <w:rsid w:val="00084BCD"/>
    <w:rsid w:val="00086885"/>
    <w:rsid w:val="000870D6"/>
    <w:rsid w:val="000904D8"/>
    <w:rsid w:val="000940FB"/>
    <w:rsid w:val="00096B23"/>
    <w:rsid w:val="00096FB5"/>
    <w:rsid w:val="000970C3"/>
    <w:rsid w:val="000A0EE9"/>
    <w:rsid w:val="000A2A70"/>
    <w:rsid w:val="000B08AD"/>
    <w:rsid w:val="000B2F71"/>
    <w:rsid w:val="000B48CD"/>
    <w:rsid w:val="000B562C"/>
    <w:rsid w:val="000B64F3"/>
    <w:rsid w:val="000C3085"/>
    <w:rsid w:val="000C3AB8"/>
    <w:rsid w:val="000D2342"/>
    <w:rsid w:val="000D2603"/>
    <w:rsid w:val="000D65B9"/>
    <w:rsid w:val="000D7A2D"/>
    <w:rsid w:val="000D7BA6"/>
    <w:rsid w:val="000E2F64"/>
    <w:rsid w:val="000E52C4"/>
    <w:rsid w:val="000E7982"/>
    <w:rsid w:val="000F1A9D"/>
    <w:rsid w:val="000F24D9"/>
    <w:rsid w:val="000F2553"/>
    <w:rsid w:val="000F2E98"/>
    <w:rsid w:val="001017A1"/>
    <w:rsid w:val="00107D7B"/>
    <w:rsid w:val="00110529"/>
    <w:rsid w:val="00112BC7"/>
    <w:rsid w:val="00115053"/>
    <w:rsid w:val="0011521C"/>
    <w:rsid w:val="001163EE"/>
    <w:rsid w:val="00117B5B"/>
    <w:rsid w:val="001200ED"/>
    <w:rsid w:val="00121E96"/>
    <w:rsid w:val="001233EA"/>
    <w:rsid w:val="00123D99"/>
    <w:rsid w:val="00127148"/>
    <w:rsid w:val="001303BB"/>
    <w:rsid w:val="00131A5B"/>
    <w:rsid w:val="00135141"/>
    <w:rsid w:val="00136766"/>
    <w:rsid w:val="00141A75"/>
    <w:rsid w:val="00141FEE"/>
    <w:rsid w:val="00143A5C"/>
    <w:rsid w:val="00143AFD"/>
    <w:rsid w:val="001447F4"/>
    <w:rsid w:val="00144FDD"/>
    <w:rsid w:val="00145A03"/>
    <w:rsid w:val="00150A57"/>
    <w:rsid w:val="001524FB"/>
    <w:rsid w:val="00153175"/>
    <w:rsid w:val="001541D0"/>
    <w:rsid w:val="00154279"/>
    <w:rsid w:val="0015449E"/>
    <w:rsid w:val="00160B4B"/>
    <w:rsid w:val="00161EB1"/>
    <w:rsid w:val="00162A79"/>
    <w:rsid w:val="00165E43"/>
    <w:rsid w:val="0016695D"/>
    <w:rsid w:val="001669D4"/>
    <w:rsid w:val="00167CCF"/>
    <w:rsid w:val="001717E3"/>
    <w:rsid w:val="00174005"/>
    <w:rsid w:val="00174EC3"/>
    <w:rsid w:val="00175FB4"/>
    <w:rsid w:val="001770B0"/>
    <w:rsid w:val="001807FC"/>
    <w:rsid w:val="001809BE"/>
    <w:rsid w:val="00184E71"/>
    <w:rsid w:val="0018597E"/>
    <w:rsid w:val="00186384"/>
    <w:rsid w:val="00187368"/>
    <w:rsid w:val="00187E7F"/>
    <w:rsid w:val="00193924"/>
    <w:rsid w:val="00194D21"/>
    <w:rsid w:val="00195261"/>
    <w:rsid w:val="001A155F"/>
    <w:rsid w:val="001A1A1D"/>
    <w:rsid w:val="001A3EA8"/>
    <w:rsid w:val="001A54DF"/>
    <w:rsid w:val="001A71F9"/>
    <w:rsid w:val="001B1455"/>
    <w:rsid w:val="001B1ACE"/>
    <w:rsid w:val="001B3F1C"/>
    <w:rsid w:val="001B64B0"/>
    <w:rsid w:val="001C0246"/>
    <w:rsid w:val="001C08B5"/>
    <w:rsid w:val="001C5B40"/>
    <w:rsid w:val="001C6348"/>
    <w:rsid w:val="001C77E1"/>
    <w:rsid w:val="001D18D6"/>
    <w:rsid w:val="001D3311"/>
    <w:rsid w:val="001D3F02"/>
    <w:rsid w:val="001E003C"/>
    <w:rsid w:val="001E008E"/>
    <w:rsid w:val="001E09BC"/>
    <w:rsid w:val="001E3212"/>
    <w:rsid w:val="001E4E9F"/>
    <w:rsid w:val="001E576B"/>
    <w:rsid w:val="001E6860"/>
    <w:rsid w:val="001F7220"/>
    <w:rsid w:val="001F7F7E"/>
    <w:rsid w:val="002002D4"/>
    <w:rsid w:val="00200340"/>
    <w:rsid w:val="00200B85"/>
    <w:rsid w:val="002018BE"/>
    <w:rsid w:val="00203503"/>
    <w:rsid w:val="002048EA"/>
    <w:rsid w:val="0020520E"/>
    <w:rsid w:val="00205D68"/>
    <w:rsid w:val="00206F6B"/>
    <w:rsid w:val="00207958"/>
    <w:rsid w:val="00210E88"/>
    <w:rsid w:val="00211CC1"/>
    <w:rsid w:val="00212521"/>
    <w:rsid w:val="00212693"/>
    <w:rsid w:val="00217DA4"/>
    <w:rsid w:val="00221340"/>
    <w:rsid w:val="002218D6"/>
    <w:rsid w:val="00221F31"/>
    <w:rsid w:val="00222A43"/>
    <w:rsid w:val="002235CA"/>
    <w:rsid w:val="0022460F"/>
    <w:rsid w:val="002269F1"/>
    <w:rsid w:val="00226B9F"/>
    <w:rsid w:val="00227113"/>
    <w:rsid w:val="002318C6"/>
    <w:rsid w:val="00231B44"/>
    <w:rsid w:val="0023294A"/>
    <w:rsid w:val="00232EF9"/>
    <w:rsid w:val="0023307B"/>
    <w:rsid w:val="00237C92"/>
    <w:rsid w:val="00240347"/>
    <w:rsid w:val="002405F7"/>
    <w:rsid w:val="00241507"/>
    <w:rsid w:val="0024178C"/>
    <w:rsid w:val="00243D9B"/>
    <w:rsid w:val="002441A0"/>
    <w:rsid w:val="00244FCF"/>
    <w:rsid w:val="00251E2F"/>
    <w:rsid w:val="00253835"/>
    <w:rsid w:val="00253E2A"/>
    <w:rsid w:val="00257C3C"/>
    <w:rsid w:val="002618A1"/>
    <w:rsid w:val="00261BC2"/>
    <w:rsid w:val="002634FC"/>
    <w:rsid w:val="00264E61"/>
    <w:rsid w:val="002654F2"/>
    <w:rsid w:val="00266D1F"/>
    <w:rsid w:val="00267860"/>
    <w:rsid w:val="00267EC5"/>
    <w:rsid w:val="00272E7A"/>
    <w:rsid w:val="0027480B"/>
    <w:rsid w:val="00276A16"/>
    <w:rsid w:val="00281566"/>
    <w:rsid w:val="002827FC"/>
    <w:rsid w:val="0028289A"/>
    <w:rsid w:val="002834E3"/>
    <w:rsid w:val="00283678"/>
    <w:rsid w:val="00284773"/>
    <w:rsid w:val="00286C8B"/>
    <w:rsid w:val="002875D5"/>
    <w:rsid w:val="002877F9"/>
    <w:rsid w:val="00293257"/>
    <w:rsid w:val="00293ACF"/>
    <w:rsid w:val="00296329"/>
    <w:rsid w:val="002966AA"/>
    <w:rsid w:val="00297067"/>
    <w:rsid w:val="002974E9"/>
    <w:rsid w:val="002A2543"/>
    <w:rsid w:val="002A3067"/>
    <w:rsid w:val="002A499F"/>
    <w:rsid w:val="002A589D"/>
    <w:rsid w:val="002A62E5"/>
    <w:rsid w:val="002A6EB0"/>
    <w:rsid w:val="002A7FD0"/>
    <w:rsid w:val="002B0F4E"/>
    <w:rsid w:val="002B1591"/>
    <w:rsid w:val="002B19CC"/>
    <w:rsid w:val="002B2A06"/>
    <w:rsid w:val="002B3321"/>
    <w:rsid w:val="002C28CF"/>
    <w:rsid w:val="002C4907"/>
    <w:rsid w:val="002D0B06"/>
    <w:rsid w:val="002D2DCC"/>
    <w:rsid w:val="002D39C3"/>
    <w:rsid w:val="002D4655"/>
    <w:rsid w:val="002D5516"/>
    <w:rsid w:val="002D58FC"/>
    <w:rsid w:val="002D7EF8"/>
    <w:rsid w:val="002E0015"/>
    <w:rsid w:val="002E0681"/>
    <w:rsid w:val="002E2E56"/>
    <w:rsid w:val="002E4219"/>
    <w:rsid w:val="002E4DDF"/>
    <w:rsid w:val="002E580A"/>
    <w:rsid w:val="002E59E7"/>
    <w:rsid w:val="002F3ACD"/>
    <w:rsid w:val="002F3B5F"/>
    <w:rsid w:val="002F3C54"/>
    <w:rsid w:val="002F40A6"/>
    <w:rsid w:val="002F5587"/>
    <w:rsid w:val="002F780D"/>
    <w:rsid w:val="00300381"/>
    <w:rsid w:val="003003AB"/>
    <w:rsid w:val="00301E91"/>
    <w:rsid w:val="0030748F"/>
    <w:rsid w:val="00312C59"/>
    <w:rsid w:val="00314399"/>
    <w:rsid w:val="00315219"/>
    <w:rsid w:val="00316AAA"/>
    <w:rsid w:val="0032337A"/>
    <w:rsid w:val="00326BA1"/>
    <w:rsid w:val="00327CB1"/>
    <w:rsid w:val="0033119B"/>
    <w:rsid w:val="00332144"/>
    <w:rsid w:val="0034031D"/>
    <w:rsid w:val="00340AA0"/>
    <w:rsid w:val="003422F2"/>
    <w:rsid w:val="003424C3"/>
    <w:rsid w:val="00342B48"/>
    <w:rsid w:val="003437AC"/>
    <w:rsid w:val="003440C3"/>
    <w:rsid w:val="003447AB"/>
    <w:rsid w:val="00344ACD"/>
    <w:rsid w:val="00345C0A"/>
    <w:rsid w:val="003477F9"/>
    <w:rsid w:val="00350163"/>
    <w:rsid w:val="0035286E"/>
    <w:rsid w:val="003531BA"/>
    <w:rsid w:val="003536DE"/>
    <w:rsid w:val="00353881"/>
    <w:rsid w:val="003563ED"/>
    <w:rsid w:val="00356577"/>
    <w:rsid w:val="00361C5B"/>
    <w:rsid w:val="00361DCD"/>
    <w:rsid w:val="003626CC"/>
    <w:rsid w:val="003630C1"/>
    <w:rsid w:val="003630DA"/>
    <w:rsid w:val="00365C73"/>
    <w:rsid w:val="00366A09"/>
    <w:rsid w:val="00367E36"/>
    <w:rsid w:val="00373647"/>
    <w:rsid w:val="00374CBC"/>
    <w:rsid w:val="00375D5B"/>
    <w:rsid w:val="003777F5"/>
    <w:rsid w:val="00381B3C"/>
    <w:rsid w:val="003852F2"/>
    <w:rsid w:val="00386420"/>
    <w:rsid w:val="00387181"/>
    <w:rsid w:val="003904FF"/>
    <w:rsid w:val="003927B8"/>
    <w:rsid w:val="003939A3"/>
    <w:rsid w:val="003940EE"/>
    <w:rsid w:val="003960DB"/>
    <w:rsid w:val="0039629E"/>
    <w:rsid w:val="003A37D6"/>
    <w:rsid w:val="003A450E"/>
    <w:rsid w:val="003A4693"/>
    <w:rsid w:val="003A5298"/>
    <w:rsid w:val="003A5A4B"/>
    <w:rsid w:val="003A5E37"/>
    <w:rsid w:val="003A6546"/>
    <w:rsid w:val="003A7260"/>
    <w:rsid w:val="003A789B"/>
    <w:rsid w:val="003B12FA"/>
    <w:rsid w:val="003B1744"/>
    <w:rsid w:val="003B1D13"/>
    <w:rsid w:val="003B25E5"/>
    <w:rsid w:val="003B4A76"/>
    <w:rsid w:val="003B4C22"/>
    <w:rsid w:val="003B5344"/>
    <w:rsid w:val="003B5B66"/>
    <w:rsid w:val="003B7548"/>
    <w:rsid w:val="003B7E23"/>
    <w:rsid w:val="003C170C"/>
    <w:rsid w:val="003C1F23"/>
    <w:rsid w:val="003C5BD2"/>
    <w:rsid w:val="003C5EFB"/>
    <w:rsid w:val="003C7247"/>
    <w:rsid w:val="003D05AB"/>
    <w:rsid w:val="003D29DF"/>
    <w:rsid w:val="003D3482"/>
    <w:rsid w:val="003D3F2D"/>
    <w:rsid w:val="003D451A"/>
    <w:rsid w:val="003D5E3A"/>
    <w:rsid w:val="003D6324"/>
    <w:rsid w:val="003D65B4"/>
    <w:rsid w:val="003D65B8"/>
    <w:rsid w:val="003D67C9"/>
    <w:rsid w:val="003E0115"/>
    <w:rsid w:val="003E0A8E"/>
    <w:rsid w:val="003E1201"/>
    <w:rsid w:val="003E1481"/>
    <w:rsid w:val="003E1A05"/>
    <w:rsid w:val="003E1EC3"/>
    <w:rsid w:val="003E21BC"/>
    <w:rsid w:val="003E46B3"/>
    <w:rsid w:val="003E56D1"/>
    <w:rsid w:val="003E749D"/>
    <w:rsid w:val="003F199D"/>
    <w:rsid w:val="003F3A71"/>
    <w:rsid w:val="003F4F7B"/>
    <w:rsid w:val="003F52E0"/>
    <w:rsid w:val="00403B0F"/>
    <w:rsid w:val="00407880"/>
    <w:rsid w:val="004108E9"/>
    <w:rsid w:val="00411415"/>
    <w:rsid w:val="00411A79"/>
    <w:rsid w:val="004208AC"/>
    <w:rsid w:val="004238B8"/>
    <w:rsid w:val="00424177"/>
    <w:rsid w:val="00424E0C"/>
    <w:rsid w:val="004271A5"/>
    <w:rsid w:val="00427ACA"/>
    <w:rsid w:val="00431131"/>
    <w:rsid w:val="004326A9"/>
    <w:rsid w:val="00432A1A"/>
    <w:rsid w:val="00432B67"/>
    <w:rsid w:val="00433A63"/>
    <w:rsid w:val="00433DED"/>
    <w:rsid w:val="00434EA4"/>
    <w:rsid w:val="004356B8"/>
    <w:rsid w:val="0043577F"/>
    <w:rsid w:val="00436397"/>
    <w:rsid w:val="00441149"/>
    <w:rsid w:val="00442DE7"/>
    <w:rsid w:val="00443F89"/>
    <w:rsid w:val="00444476"/>
    <w:rsid w:val="00444D9C"/>
    <w:rsid w:val="0044767F"/>
    <w:rsid w:val="00450547"/>
    <w:rsid w:val="004514C7"/>
    <w:rsid w:val="00453252"/>
    <w:rsid w:val="00453BA9"/>
    <w:rsid w:val="00454453"/>
    <w:rsid w:val="00454927"/>
    <w:rsid w:val="004555B0"/>
    <w:rsid w:val="0045717B"/>
    <w:rsid w:val="004575E4"/>
    <w:rsid w:val="00461A8B"/>
    <w:rsid w:val="004640DB"/>
    <w:rsid w:val="004649A9"/>
    <w:rsid w:val="00464C76"/>
    <w:rsid w:val="00465121"/>
    <w:rsid w:val="004654FE"/>
    <w:rsid w:val="004676C9"/>
    <w:rsid w:val="00467D2C"/>
    <w:rsid w:val="00471006"/>
    <w:rsid w:val="00473556"/>
    <w:rsid w:val="00474B25"/>
    <w:rsid w:val="00475949"/>
    <w:rsid w:val="00475D2B"/>
    <w:rsid w:val="00476D7D"/>
    <w:rsid w:val="00481903"/>
    <w:rsid w:val="0048385E"/>
    <w:rsid w:val="00483D9F"/>
    <w:rsid w:val="00485A06"/>
    <w:rsid w:val="00485D24"/>
    <w:rsid w:val="00487C33"/>
    <w:rsid w:val="0049105E"/>
    <w:rsid w:val="00493A10"/>
    <w:rsid w:val="004945FB"/>
    <w:rsid w:val="00497971"/>
    <w:rsid w:val="004A013F"/>
    <w:rsid w:val="004A11C3"/>
    <w:rsid w:val="004A4AE8"/>
    <w:rsid w:val="004A4CC0"/>
    <w:rsid w:val="004A5C02"/>
    <w:rsid w:val="004B122B"/>
    <w:rsid w:val="004B2579"/>
    <w:rsid w:val="004B2986"/>
    <w:rsid w:val="004B2B21"/>
    <w:rsid w:val="004B6E2B"/>
    <w:rsid w:val="004C1E03"/>
    <w:rsid w:val="004C25F7"/>
    <w:rsid w:val="004C5356"/>
    <w:rsid w:val="004C75A3"/>
    <w:rsid w:val="004D0A96"/>
    <w:rsid w:val="004D1643"/>
    <w:rsid w:val="004D1660"/>
    <w:rsid w:val="004D31F4"/>
    <w:rsid w:val="004D34E9"/>
    <w:rsid w:val="004D381D"/>
    <w:rsid w:val="004D527A"/>
    <w:rsid w:val="004D5BF0"/>
    <w:rsid w:val="004D6B3E"/>
    <w:rsid w:val="004E06E4"/>
    <w:rsid w:val="004E13A2"/>
    <w:rsid w:val="004E153A"/>
    <w:rsid w:val="004E3C21"/>
    <w:rsid w:val="004E576E"/>
    <w:rsid w:val="004E5D22"/>
    <w:rsid w:val="004E5FB0"/>
    <w:rsid w:val="004E6D24"/>
    <w:rsid w:val="004F36CC"/>
    <w:rsid w:val="004F4B1A"/>
    <w:rsid w:val="004F5005"/>
    <w:rsid w:val="00502DFC"/>
    <w:rsid w:val="00506238"/>
    <w:rsid w:val="00510BA7"/>
    <w:rsid w:val="005120B1"/>
    <w:rsid w:val="00512E38"/>
    <w:rsid w:val="0051403E"/>
    <w:rsid w:val="00514630"/>
    <w:rsid w:val="00515A3B"/>
    <w:rsid w:val="00515DD7"/>
    <w:rsid w:val="005160A7"/>
    <w:rsid w:val="00521F75"/>
    <w:rsid w:val="00522189"/>
    <w:rsid w:val="00522CBF"/>
    <w:rsid w:val="00524783"/>
    <w:rsid w:val="005252FF"/>
    <w:rsid w:val="005268EC"/>
    <w:rsid w:val="005301DF"/>
    <w:rsid w:val="005317A9"/>
    <w:rsid w:val="00532A5A"/>
    <w:rsid w:val="005359FD"/>
    <w:rsid w:val="005367AA"/>
    <w:rsid w:val="005403B6"/>
    <w:rsid w:val="005470A7"/>
    <w:rsid w:val="005507F1"/>
    <w:rsid w:val="00552ED8"/>
    <w:rsid w:val="0055321D"/>
    <w:rsid w:val="00553AC5"/>
    <w:rsid w:val="0055496C"/>
    <w:rsid w:val="00555C35"/>
    <w:rsid w:val="00555DDD"/>
    <w:rsid w:val="00556F2A"/>
    <w:rsid w:val="00557897"/>
    <w:rsid w:val="005608DD"/>
    <w:rsid w:val="00562969"/>
    <w:rsid w:val="00562E8C"/>
    <w:rsid w:val="005634F6"/>
    <w:rsid w:val="00563871"/>
    <w:rsid w:val="005643E5"/>
    <w:rsid w:val="00564546"/>
    <w:rsid w:val="00565474"/>
    <w:rsid w:val="005657E0"/>
    <w:rsid w:val="005676A4"/>
    <w:rsid w:val="005708C7"/>
    <w:rsid w:val="00576A4E"/>
    <w:rsid w:val="00576B69"/>
    <w:rsid w:val="005776E9"/>
    <w:rsid w:val="00580866"/>
    <w:rsid w:val="00581093"/>
    <w:rsid w:val="00581C3E"/>
    <w:rsid w:val="00583249"/>
    <w:rsid w:val="00587ABC"/>
    <w:rsid w:val="005909E5"/>
    <w:rsid w:val="005918CF"/>
    <w:rsid w:val="0059283E"/>
    <w:rsid w:val="00595300"/>
    <w:rsid w:val="005954B6"/>
    <w:rsid w:val="00596FBD"/>
    <w:rsid w:val="005A2BDB"/>
    <w:rsid w:val="005A3E9D"/>
    <w:rsid w:val="005A56A7"/>
    <w:rsid w:val="005A6521"/>
    <w:rsid w:val="005A66FF"/>
    <w:rsid w:val="005B1FF9"/>
    <w:rsid w:val="005B44B6"/>
    <w:rsid w:val="005B636E"/>
    <w:rsid w:val="005B66CC"/>
    <w:rsid w:val="005B6F36"/>
    <w:rsid w:val="005C247B"/>
    <w:rsid w:val="005C6263"/>
    <w:rsid w:val="005C7DA3"/>
    <w:rsid w:val="005D1064"/>
    <w:rsid w:val="005D1669"/>
    <w:rsid w:val="005D3693"/>
    <w:rsid w:val="005D4ABC"/>
    <w:rsid w:val="005D7424"/>
    <w:rsid w:val="005D7559"/>
    <w:rsid w:val="005E18EF"/>
    <w:rsid w:val="005E6063"/>
    <w:rsid w:val="005F07B7"/>
    <w:rsid w:val="005F32ED"/>
    <w:rsid w:val="005F4454"/>
    <w:rsid w:val="005F48CA"/>
    <w:rsid w:val="005F4B83"/>
    <w:rsid w:val="005F4F6E"/>
    <w:rsid w:val="005F5255"/>
    <w:rsid w:val="005F5ABF"/>
    <w:rsid w:val="005F5EA3"/>
    <w:rsid w:val="005F60DF"/>
    <w:rsid w:val="005F6E6F"/>
    <w:rsid w:val="006017D0"/>
    <w:rsid w:val="0060328D"/>
    <w:rsid w:val="00605294"/>
    <w:rsid w:val="006062B1"/>
    <w:rsid w:val="006065C2"/>
    <w:rsid w:val="00607B49"/>
    <w:rsid w:val="00611168"/>
    <w:rsid w:val="00611DCA"/>
    <w:rsid w:val="0061471E"/>
    <w:rsid w:val="00614F2C"/>
    <w:rsid w:val="00626A1D"/>
    <w:rsid w:val="0063045E"/>
    <w:rsid w:val="00631255"/>
    <w:rsid w:val="00633104"/>
    <w:rsid w:val="00637B4E"/>
    <w:rsid w:val="00637BC8"/>
    <w:rsid w:val="00637BEB"/>
    <w:rsid w:val="0064042C"/>
    <w:rsid w:val="006439DF"/>
    <w:rsid w:val="006448F4"/>
    <w:rsid w:val="00652D14"/>
    <w:rsid w:val="00653DA7"/>
    <w:rsid w:val="0065662F"/>
    <w:rsid w:val="00656D75"/>
    <w:rsid w:val="00663371"/>
    <w:rsid w:val="00663A03"/>
    <w:rsid w:val="00664CA5"/>
    <w:rsid w:val="0066737A"/>
    <w:rsid w:val="006673B7"/>
    <w:rsid w:val="00667FD1"/>
    <w:rsid w:val="00671694"/>
    <w:rsid w:val="00672497"/>
    <w:rsid w:val="00673C05"/>
    <w:rsid w:val="00676367"/>
    <w:rsid w:val="00677BC6"/>
    <w:rsid w:val="00681710"/>
    <w:rsid w:val="00683EF3"/>
    <w:rsid w:val="0068572A"/>
    <w:rsid w:val="006869F9"/>
    <w:rsid w:val="00691BA2"/>
    <w:rsid w:val="00693387"/>
    <w:rsid w:val="00693D89"/>
    <w:rsid w:val="0069457E"/>
    <w:rsid w:val="00694A17"/>
    <w:rsid w:val="006958FA"/>
    <w:rsid w:val="00696AEE"/>
    <w:rsid w:val="00697141"/>
    <w:rsid w:val="006973A8"/>
    <w:rsid w:val="006A1399"/>
    <w:rsid w:val="006A1616"/>
    <w:rsid w:val="006A2343"/>
    <w:rsid w:val="006A2FBC"/>
    <w:rsid w:val="006B5D4B"/>
    <w:rsid w:val="006B76E4"/>
    <w:rsid w:val="006B7D2D"/>
    <w:rsid w:val="006C17B3"/>
    <w:rsid w:val="006C1EED"/>
    <w:rsid w:val="006C22E0"/>
    <w:rsid w:val="006C2DF1"/>
    <w:rsid w:val="006C2E75"/>
    <w:rsid w:val="006C40E2"/>
    <w:rsid w:val="006C6094"/>
    <w:rsid w:val="006C637D"/>
    <w:rsid w:val="006C6748"/>
    <w:rsid w:val="006C7696"/>
    <w:rsid w:val="006C7B6E"/>
    <w:rsid w:val="006D08BA"/>
    <w:rsid w:val="006D3D1B"/>
    <w:rsid w:val="006D404E"/>
    <w:rsid w:val="006D77FC"/>
    <w:rsid w:val="006E0879"/>
    <w:rsid w:val="006E0BA8"/>
    <w:rsid w:val="006E159D"/>
    <w:rsid w:val="006E20CD"/>
    <w:rsid w:val="006E2319"/>
    <w:rsid w:val="006E658D"/>
    <w:rsid w:val="006E6901"/>
    <w:rsid w:val="006E7034"/>
    <w:rsid w:val="006E7FB1"/>
    <w:rsid w:val="006F0CAA"/>
    <w:rsid w:val="006F53F7"/>
    <w:rsid w:val="006F71B0"/>
    <w:rsid w:val="006F7D12"/>
    <w:rsid w:val="006F7F7C"/>
    <w:rsid w:val="00701159"/>
    <w:rsid w:val="007011C0"/>
    <w:rsid w:val="00701435"/>
    <w:rsid w:val="0070225B"/>
    <w:rsid w:val="00703A3E"/>
    <w:rsid w:val="00703DE4"/>
    <w:rsid w:val="00703E18"/>
    <w:rsid w:val="00706C1B"/>
    <w:rsid w:val="00710AD4"/>
    <w:rsid w:val="00710E0E"/>
    <w:rsid w:val="00711CE8"/>
    <w:rsid w:val="00712759"/>
    <w:rsid w:val="007154D9"/>
    <w:rsid w:val="00716A4B"/>
    <w:rsid w:val="00717323"/>
    <w:rsid w:val="0071749A"/>
    <w:rsid w:val="00720B3F"/>
    <w:rsid w:val="0072311B"/>
    <w:rsid w:val="007236A7"/>
    <w:rsid w:val="007251EA"/>
    <w:rsid w:val="00726881"/>
    <w:rsid w:val="00730C84"/>
    <w:rsid w:val="00734007"/>
    <w:rsid w:val="00734EE9"/>
    <w:rsid w:val="00736357"/>
    <w:rsid w:val="00736F17"/>
    <w:rsid w:val="00740403"/>
    <w:rsid w:val="0074247D"/>
    <w:rsid w:val="0074308B"/>
    <w:rsid w:val="00745006"/>
    <w:rsid w:val="0074649A"/>
    <w:rsid w:val="007464C4"/>
    <w:rsid w:val="00754FED"/>
    <w:rsid w:val="0075552D"/>
    <w:rsid w:val="00755825"/>
    <w:rsid w:val="0075637D"/>
    <w:rsid w:val="00756AE8"/>
    <w:rsid w:val="00756DDB"/>
    <w:rsid w:val="00757E45"/>
    <w:rsid w:val="00760B2C"/>
    <w:rsid w:val="00763488"/>
    <w:rsid w:val="00763BD5"/>
    <w:rsid w:val="0076426F"/>
    <w:rsid w:val="007661E4"/>
    <w:rsid w:val="00766CA4"/>
    <w:rsid w:val="007678FC"/>
    <w:rsid w:val="00767FD5"/>
    <w:rsid w:val="00770F82"/>
    <w:rsid w:val="00772C30"/>
    <w:rsid w:val="00772E26"/>
    <w:rsid w:val="00774452"/>
    <w:rsid w:val="00774A19"/>
    <w:rsid w:val="007750F4"/>
    <w:rsid w:val="0077593F"/>
    <w:rsid w:val="00780EBE"/>
    <w:rsid w:val="007824A1"/>
    <w:rsid w:val="0078267B"/>
    <w:rsid w:val="00782CBC"/>
    <w:rsid w:val="00785B6C"/>
    <w:rsid w:val="00791E20"/>
    <w:rsid w:val="00795FF4"/>
    <w:rsid w:val="0079642F"/>
    <w:rsid w:val="007967EB"/>
    <w:rsid w:val="007A0802"/>
    <w:rsid w:val="007A0880"/>
    <w:rsid w:val="007A485C"/>
    <w:rsid w:val="007A4C65"/>
    <w:rsid w:val="007A7D66"/>
    <w:rsid w:val="007A7DEA"/>
    <w:rsid w:val="007B0CBF"/>
    <w:rsid w:val="007B161A"/>
    <w:rsid w:val="007B20A1"/>
    <w:rsid w:val="007B2720"/>
    <w:rsid w:val="007B4727"/>
    <w:rsid w:val="007B4773"/>
    <w:rsid w:val="007B4B8F"/>
    <w:rsid w:val="007B5AB1"/>
    <w:rsid w:val="007B6591"/>
    <w:rsid w:val="007B6B6C"/>
    <w:rsid w:val="007B6F4E"/>
    <w:rsid w:val="007C0250"/>
    <w:rsid w:val="007C2201"/>
    <w:rsid w:val="007C6DFE"/>
    <w:rsid w:val="007D03B8"/>
    <w:rsid w:val="007D1AF0"/>
    <w:rsid w:val="007D1DF4"/>
    <w:rsid w:val="007D354A"/>
    <w:rsid w:val="007D475D"/>
    <w:rsid w:val="007E27CB"/>
    <w:rsid w:val="007E5C2F"/>
    <w:rsid w:val="007E6300"/>
    <w:rsid w:val="007E67FF"/>
    <w:rsid w:val="007F1072"/>
    <w:rsid w:val="007F135D"/>
    <w:rsid w:val="007F2189"/>
    <w:rsid w:val="00810983"/>
    <w:rsid w:val="00810BEE"/>
    <w:rsid w:val="00811247"/>
    <w:rsid w:val="008130E5"/>
    <w:rsid w:val="00813C68"/>
    <w:rsid w:val="00813CC9"/>
    <w:rsid w:val="00814DB3"/>
    <w:rsid w:val="008155F2"/>
    <w:rsid w:val="008157CA"/>
    <w:rsid w:val="00816BF9"/>
    <w:rsid w:val="00816EEA"/>
    <w:rsid w:val="00820BEB"/>
    <w:rsid w:val="00821461"/>
    <w:rsid w:val="00824F1C"/>
    <w:rsid w:val="008253E0"/>
    <w:rsid w:val="00827229"/>
    <w:rsid w:val="0083062A"/>
    <w:rsid w:val="00830F7B"/>
    <w:rsid w:val="00831068"/>
    <w:rsid w:val="008312D9"/>
    <w:rsid w:val="00833778"/>
    <w:rsid w:val="00833BFF"/>
    <w:rsid w:val="00834BDD"/>
    <w:rsid w:val="00835227"/>
    <w:rsid w:val="0083583B"/>
    <w:rsid w:val="00841286"/>
    <w:rsid w:val="00842B46"/>
    <w:rsid w:val="00844AA0"/>
    <w:rsid w:val="00845C99"/>
    <w:rsid w:val="00846B5C"/>
    <w:rsid w:val="00846F65"/>
    <w:rsid w:val="008506DD"/>
    <w:rsid w:val="00851A8A"/>
    <w:rsid w:val="008533C3"/>
    <w:rsid w:val="0085394B"/>
    <w:rsid w:val="00854782"/>
    <w:rsid w:val="00856657"/>
    <w:rsid w:val="00857319"/>
    <w:rsid w:val="00857876"/>
    <w:rsid w:val="00860504"/>
    <w:rsid w:val="00860726"/>
    <w:rsid w:val="00863FB7"/>
    <w:rsid w:val="008641EE"/>
    <w:rsid w:val="00865C28"/>
    <w:rsid w:val="00866AA3"/>
    <w:rsid w:val="00866EFF"/>
    <w:rsid w:val="00870C7B"/>
    <w:rsid w:val="00870F16"/>
    <w:rsid w:val="00871196"/>
    <w:rsid w:val="008723D4"/>
    <w:rsid w:val="0087283A"/>
    <w:rsid w:val="00873625"/>
    <w:rsid w:val="00874588"/>
    <w:rsid w:val="0087656C"/>
    <w:rsid w:val="00876EEC"/>
    <w:rsid w:val="008814EB"/>
    <w:rsid w:val="00883A14"/>
    <w:rsid w:val="00883DEE"/>
    <w:rsid w:val="00886181"/>
    <w:rsid w:val="0089119E"/>
    <w:rsid w:val="00891C3D"/>
    <w:rsid w:val="008950DB"/>
    <w:rsid w:val="008953F8"/>
    <w:rsid w:val="00897FDF"/>
    <w:rsid w:val="008A17FF"/>
    <w:rsid w:val="008A42B4"/>
    <w:rsid w:val="008A45A2"/>
    <w:rsid w:val="008A655E"/>
    <w:rsid w:val="008B0F20"/>
    <w:rsid w:val="008B6074"/>
    <w:rsid w:val="008B6141"/>
    <w:rsid w:val="008B6AC6"/>
    <w:rsid w:val="008C0591"/>
    <w:rsid w:val="008C0F8B"/>
    <w:rsid w:val="008C123D"/>
    <w:rsid w:val="008C3ED1"/>
    <w:rsid w:val="008C4CE5"/>
    <w:rsid w:val="008C5165"/>
    <w:rsid w:val="008C56F7"/>
    <w:rsid w:val="008C7D03"/>
    <w:rsid w:val="008D0051"/>
    <w:rsid w:val="008D0F24"/>
    <w:rsid w:val="008D4327"/>
    <w:rsid w:val="008E3647"/>
    <w:rsid w:val="008E5E27"/>
    <w:rsid w:val="008E7B1C"/>
    <w:rsid w:val="008F0237"/>
    <w:rsid w:val="008F0A12"/>
    <w:rsid w:val="008F1704"/>
    <w:rsid w:val="008F674F"/>
    <w:rsid w:val="008F722A"/>
    <w:rsid w:val="008F753D"/>
    <w:rsid w:val="008F78D3"/>
    <w:rsid w:val="00901825"/>
    <w:rsid w:val="00902292"/>
    <w:rsid w:val="00902677"/>
    <w:rsid w:val="0090390A"/>
    <w:rsid w:val="00905D05"/>
    <w:rsid w:val="0091019B"/>
    <w:rsid w:val="00910772"/>
    <w:rsid w:val="0091174B"/>
    <w:rsid w:val="00913357"/>
    <w:rsid w:val="0091392A"/>
    <w:rsid w:val="009155D8"/>
    <w:rsid w:val="00915BC6"/>
    <w:rsid w:val="00915E6B"/>
    <w:rsid w:val="009167C4"/>
    <w:rsid w:val="0091732E"/>
    <w:rsid w:val="00917823"/>
    <w:rsid w:val="00920B56"/>
    <w:rsid w:val="00921CCB"/>
    <w:rsid w:val="00921F86"/>
    <w:rsid w:val="00924117"/>
    <w:rsid w:val="00924C1D"/>
    <w:rsid w:val="00925875"/>
    <w:rsid w:val="00926180"/>
    <w:rsid w:val="0092770B"/>
    <w:rsid w:val="0092773D"/>
    <w:rsid w:val="00927899"/>
    <w:rsid w:val="00930A9C"/>
    <w:rsid w:val="009310D9"/>
    <w:rsid w:val="0093301E"/>
    <w:rsid w:val="00933047"/>
    <w:rsid w:val="00933400"/>
    <w:rsid w:val="00935642"/>
    <w:rsid w:val="00936CB9"/>
    <w:rsid w:val="00941819"/>
    <w:rsid w:val="0094193E"/>
    <w:rsid w:val="0094213E"/>
    <w:rsid w:val="00942F5B"/>
    <w:rsid w:val="009435FD"/>
    <w:rsid w:val="0095076B"/>
    <w:rsid w:val="00950DBB"/>
    <w:rsid w:val="009522F9"/>
    <w:rsid w:val="009523AD"/>
    <w:rsid w:val="00953B66"/>
    <w:rsid w:val="00954731"/>
    <w:rsid w:val="00954E79"/>
    <w:rsid w:val="00955631"/>
    <w:rsid w:val="0095698C"/>
    <w:rsid w:val="00960375"/>
    <w:rsid w:val="009610A4"/>
    <w:rsid w:val="0096265E"/>
    <w:rsid w:val="00965175"/>
    <w:rsid w:val="00970626"/>
    <w:rsid w:val="0097156D"/>
    <w:rsid w:val="009730A1"/>
    <w:rsid w:val="0097338E"/>
    <w:rsid w:val="0097380F"/>
    <w:rsid w:val="009741B0"/>
    <w:rsid w:val="00974272"/>
    <w:rsid w:val="009744EA"/>
    <w:rsid w:val="00974BDD"/>
    <w:rsid w:val="00974F1D"/>
    <w:rsid w:val="00975037"/>
    <w:rsid w:val="00976372"/>
    <w:rsid w:val="009836D0"/>
    <w:rsid w:val="00987102"/>
    <w:rsid w:val="00991836"/>
    <w:rsid w:val="009918F9"/>
    <w:rsid w:val="00995D8F"/>
    <w:rsid w:val="00996CDE"/>
    <w:rsid w:val="009A1052"/>
    <w:rsid w:val="009A20E1"/>
    <w:rsid w:val="009A2225"/>
    <w:rsid w:val="009A2568"/>
    <w:rsid w:val="009A2892"/>
    <w:rsid w:val="009A2BC1"/>
    <w:rsid w:val="009A3D2E"/>
    <w:rsid w:val="009A3F8E"/>
    <w:rsid w:val="009A4589"/>
    <w:rsid w:val="009A71CA"/>
    <w:rsid w:val="009A7A20"/>
    <w:rsid w:val="009B152E"/>
    <w:rsid w:val="009B1B75"/>
    <w:rsid w:val="009B1EF0"/>
    <w:rsid w:val="009B294E"/>
    <w:rsid w:val="009B3CC7"/>
    <w:rsid w:val="009B4672"/>
    <w:rsid w:val="009B4A2D"/>
    <w:rsid w:val="009B60E0"/>
    <w:rsid w:val="009B6177"/>
    <w:rsid w:val="009B6968"/>
    <w:rsid w:val="009B724D"/>
    <w:rsid w:val="009C177C"/>
    <w:rsid w:val="009C478C"/>
    <w:rsid w:val="009C512B"/>
    <w:rsid w:val="009C5FAA"/>
    <w:rsid w:val="009C6316"/>
    <w:rsid w:val="009C6C7C"/>
    <w:rsid w:val="009D19C3"/>
    <w:rsid w:val="009D3B1D"/>
    <w:rsid w:val="009D4D9A"/>
    <w:rsid w:val="009D565D"/>
    <w:rsid w:val="009D5C7F"/>
    <w:rsid w:val="009D746A"/>
    <w:rsid w:val="009E02A6"/>
    <w:rsid w:val="009E048C"/>
    <w:rsid w:val="009E0D39"/>
    <w:rsid w:val="009E17BB"/>
    <w:rsid w:val="009E20FC"/>
    <w:rsid w:val="009E2A1A"/>
    <w:rsid w:val="009F443F"/>
    <w:rsid w:val="009F5824"/>
    <w:rsid w:val="009F5842"/>
    <w:rsid w:val="00A00167"/>
    <w:rsid w:val="00A02BA4"/>
    <w:rsid w:val="00A0577E"/>
    <w:rsid w:val="00A06BF3"/>
    <w:rsid w:val="00A10E23"/>
    <w:rsid w:val="00A12923"/>
    <w:rsid w:val="00A12BB8"/>
    <w:rsid w:val="00A144D7"/>
    <w:rsid w:val="00A220BE"/>
    <w:rsid w:val="00A23C18"/>
    <w:rsid w:val="00A252E1"/>
    <w:rsid w:val="00A27CFD"/>
    <w:rsid w:val="00A307A2"/>
    <w:rsid w:val="00A30F96"/>
    <w:rsid w:val="00A32835"/>
    <w:rsid w:val="00A33819"/>
    <w:rsid w:val="00A33F83"/>
    <w:rsid w:val="00A363ED"/>
    <w:rsid w:val="00A364B9"/>
    <w:rsid w:val="00A374EB"/>
    <w:rsid w:val="00A41040"/>
    <w:rsid w:val="00A41476"/>
    <w:rsid w:val="00A42BEE"/>
    <w:rsid w:val="00A45471"/>
    <w:rsid w:val="00A46278"/>
    <w:rsid w:val="00A4719D"/>
    <w:rsid w:val="00A47697"/>
    <w:rsid w:val="00A525FC"/>
    <w:rsid w:val="00A52EA9"/>
    <w:rsid w:val="00A53506"/>
    <w:rsid w:val="00A53684"/>
    <w:rsid w:val="00A56033"/>
    <w:rsid w:val="00A600C4"/>
    <w:rsid w:val="00A60542"/>
    <w:rsid w:val="00A6145E"/>
    <w:rsid w:val="00A6303C"/>
    <w:rsid w:val="00A63667"/>
    <w:rsid w:val="00A6512A"/>
    <w:rsid w:val="00A6585D"/>
    <w:rsid w:val="00A673E0"/>
    <w:rsid w:val="00A675CB"/>
    <w:rsid w:val="00A7032C"/>
    <w:rsid w:val="00A712A6"/>
    <w:rsid w:val="00A715BE"/>
    <w:rsid w:val="00A71BDE"/>
    <w:rsid w:val="00A72655"/>
    <w:rsid w:val="00A741D7"/>
    <w:rsid w:val="00A76924"/>
    <w:rsid w:val="00A76E23"/>
    <w:rsid w:val="00A772B2"/>
    <w:rsid w:val="00A80CE1"/>
    <w:rsid w:val="00A8721F"/>
    <w:rsid w:val="00A963D3"/>
    <w:rsid w:val="00A96DCC"/>
    <w:rsid w:val="00A9751E"/>
    <w:rsid w:val="00A97C3C"/>
    <w:rsid w:val="00AA1F44"/>
    <w:rsid w:val="00AA1FF4"/>
    <w:rsid w:val="00AA2067"/>
    <w:rsid w:val="00AA2439"/>
    <w:rsid w:val="00AB2B22"/>
    <w:rsid w:val="00AB617B"/>
    <w:rsid w:val="00AB6B86"/>
    <w:rsid w:val="00AB70AC"/>
    <w:rsid w:val="00AB71AC"/>
    <w:rsid w:val="00AC15BA"/>
    <w:rsid w:val="00AC27C5"/>
    <w:rsid w:val="00AC5FAF"/>
    <w:rsid w:val="00AC6995"/>
    <w:rsid w:val="00AC6B4C"/>
    <w:rsid w:val="00AD0AC7"/>
    <w:rsid w:val="00AD54A7"/>
    <w:rsid w:val="00AD712B"/>
    <w:rsid w:val="00AE04F8"/>
    <w:rsid w:val="00AE05BE"/>
    <w:rsid w:val="00AF0074"/>
    <w:rsid w:val="00AF08C0"/>
    <w:rsid w:val="00AF104E"/>
    <w:rsid w:val="00AF22B5"/>
    <w:rsid w:val="00AF3C58"/>
    <w:rsid w:val="00AF6849"/>
    <w:rsid w:val="00AF7022"/>
    <w:rsid w:val="00AF7F1C"/>
    <w:rsid w:val="00AF7F39"/>
    <w:rsid w:val="00B0064F"/>
    <w:rsid w:val="00B01E87"/>
    <w:rsid w:val="00B026BC"/>
    <w:rsid w:val="00B03B73"/>
    <w:rsid w:val="00B04865"/>
    <w:rsid w:val="00B04A6A"/>
    <w:rsid w:val="00B0533D"/>
    <w:rsid w:val="00B10536"/>
    <w:rsid w:val="00B126BC"/>
    <w:rsid w:val="00B171F5"/>
    <w:rsid w:val="00B22A4A"/>
    <w:rsid w:val="00B23C47"/>
    <w:rsid w:val="00B24CE2"/>
    <w:rsid w:val="00B26940"/>
    <w:rsid w:val="00B3135E"/>
    <w:rsid w:val="00B321EE"/>
    <w:rsid w:val="00B33930"/>
    <w:rsid w:val="00B34AC5"/>
    <w:rsid w:val="00B35105"/>
    <w:rsid w:val="00B37E32"/>
    <w:rsid w:val="00B37EB9"/>
    <w:rsid w:val="00B43CDD"/>
    <w:rsid w:val="00B45C90"/>
    <w:rsid w:val="00B46918"/>
    <w:rsid w:val="00B53066"/>
    <w:rsid w:val="00B54593"/>
    <w:rsid w:val="00B55702"/>
    <w:rsid w:val="00B564A3"/>
    <w:rsid w:val="00B57919"/>
    <w:rsid w:val="00B57A3A"/>
    <w:rsid w:val="00B61A26"/>
    <w:rsid w:val="00B62F47"/>
    <w:rsid w:val="00B67CDD"/>
    <w:rsid w:val="00B708EE"/>
    <w:rsid w:val="00B719CC"/>
    <w:rsid w:val="00B73B2B"/>
    <w:rsid w:val="00B74B3A"/>
    <w:rsid w:val="00B74D5D"/>
    <w:rsid w:val="00B768A6"/>
    <w:rsid w:val="00B81348"/>
    <w:rsid w:val="00B82DD0"/>
    <w:rsid w:val="00B90AC1"/>
    <w:rsid w:val="00B9547A"/>
    <w:rsid w:val="00B95EE8"/>
    <w:rsid w:val="00B968BA"/>
    <w:rsid w:val="00BA134B"/>
    <w:rsid w:val="00BA470F"/>
    <w:rsid w:val="00BA4D5A"/>
    <w:rsid w:val="00BB3284"/>
    <w:rsid w:val="00BB36CF"/>
    <w:rsid w:val="00BB482A"/>
    <w:rsid w:val="00BB5BF6"/>
    <w:rsid w:val="00BC11BE"/>
    <w:rsid w:val="00BC1920"/>
    <w:rsid w:val="00BC1922"/>
    <w:rsid w:val="00BC3EAC"/>
    <w:rsid w:val="00BC757B"/>
    <w:rsid w:val="00BD2BA3"/>
    <w:rsid w:val="00BD4CCF"/>
    <w:rsid w:val="00BD7D28"/>
    <w:rsid w:val="00BE0E9C"/>
    <w:rsid w:val="00BE3C47"/>
    <w:rsid w:val="00BE50D0"/>
    <w:rsid w:val="00BE6C93"/>
    <w:rsid w:val="00BF0412"/>
    <w:rsid w:val="00BF0C7B"/>
    <w:rsid w:val="00BF2462"/>
    <w:rsid w:val="00BF2F36"/>
    <w:rsid w:val="00BF3083"/>
    <w:rsid w:val="00BF38EC"/>
    <w:rsid w:val="00BF70E8"/>
    <w:rsid w:val="00C022EC"/>
    <w:rsid w:val="00C02B38"/>
    <w:rsid w:val="00C0363A"/>
    <w:rsid w:val="00C06F8C"/>
    <w:rsid w:val="00C10780"/>
    <w:rsid w:val="00C139A9"/>
    <w:rsid w:val="00C143CA"/>
    <w:rsid w:val="00C20487"/>
    <w:rsid w:val="00C22B92"/>
    <w:rsid w:val="00C235F1"/>
    <w:rsid w:val="00C24C98"/>
    <w:rsid w:val="00C254A7"/>
    <w:rsid w:val="00C266D1"/>
    <w:rsid w:val="00C279E1"/>
    <w:rsid w:val="00C30199"/>
    <w:rsid w:val="00C32E5F"/>
    <w:rsid w:val="00C34A2F"/>
    <w:rsid w:val="00C36B60"/>
    <w:rsid w:val="00C46CC8"/>
    <w:rsid w:val="00C47763"/>
    <w:rsid w:val="00C509A3"/>
    <w:rsid w:val="00C511F7"/>
    <w:rsid w:val="00C52B21"/>
    <w:rsid w:val="00C538E4"/>
    <w:rsid w:val="00C54E3B"/>
    <w:rsid w:val="00C5525D"/>
    <w:rsid w:val="00C56B43"/>
    <w:rsid w:val="00C57811"/>
    <w:rsid w:val="00C5787E"/>
    <w:rsid w:val="00C6024E"/>
    <w:rsid w:val="00C60684"/>
    <w:rsid w:val="00C61F8F"/>
    <w:rsid w:val="00C640A1"/>
    <w:rsid w:val="00C646D8"/>
    <w:rsid w:val="00C65F3C"/>
    <w:rsid w:val="00C7544A"/>
    <w:rsid w:val="00C77DDB"/>
    <w:rsid w:val="00C8270C"/>
    <w:rsid w:val="00C82A91"/>
    <w:rsid w:val="00C82CF8"/>
    <w:rsid w:val="00C84159"/>
    <w:rsid w:val="00C9053D"/>
    <w:rsid w:val="00C95B83"/>
    <w:rsid w:val="00C9653C"/>
    <w:rsid w:val="00C9686C"/>
    <w:rsid w:val="00C976A1"/>
    <w:rsid w:val="00CA15F2"/>
    <w:rsid w:val="00CA659F"/>
    <w:rsid w:val="00CA65EC"/>
    <w:rsid w:val="00CB0978"/>
    <w:rsid w:val="00CB1534"/>
    <w:rsid w:val="00CB1D7E"/>
    <w:rsid w:val="00CB213E"/>
    <w:rsid w:val="00CB27BF"/>
    <w:rsid w:val="00CB3020"/>
    <w:rsid w:val="00CB331D"/>
    <w:rsid w:val="00CB6DB1"/>
    <w:rsid w:val="00CB7D1C"/>
    <w:rsid w:val="00CC04DC"/>
    <w:rsid w:val="00CC4BEB"/>
    <w:rsid w:val="00CC4C6A"/>
    <w:rsid w:val="00CC5D2A"/>
    <w:rsid w:val="00CC68FF"/>
    <w:rsid w:val="00CC7249"/>
    <w:rsid w:val="00CD0F99"/>
    <w:rsid w:val="00CD2D7D"/>
    <w:rsid w:val="00CD391F"/>
    <w:rsid w:val="00CD3E5B"/>
    <w:rsid w:val="00CD4665"/>
    <w:rsid w:val="00CD63D7"/>
    <w:rsid w:val="00CD6739"/>
    <w:rsid w:val="00CE0D2B"/>
    <w:rsid w:val="00CE5FF9"/>
    <w:rsid w:val="00CE6BAD"/>
    <w:rsid w:val="00CF073A"/>
    <w:rsid w:val="00CF0F91"/>
    <w:rsid w:val="00CF1E1F"/>
    <w:rsid w:val="00CF2A0A"/>
    <w:rsid w:val="00CF2CDA"/>
    <w:rsid w:val="00CF5D5B"/>
    <w:rsid w:val="00CF6350"/>
    <w:rsid w:val="00D00944"/>
    <w:rsid w:val="00D044A3"/>
    <w:rsid w:val="00D04985"/>
    <w:rsid w:val="00D06029"/>
    <w:rsid w:val="00D15D1F"/>
    <w:rsid w:val="00D16250"/>
    <w:rsid w:val="00D16EC1"/>
    <w:rsid w:val="00D1796A"/>
    <w:rsid w:val="00D20C77"/>
    <w:rsid w:val="00D21DE5"/>
    <w:rsid w:val="00D22701"/>
    <w:rsid w:val="00D2367C"/>
    <w:rsid w:val="00D23787"/>
    <w:rsid w:val="00D265A7"/>
    <w:rsid w:val="00D3029F"/>
    <w:rsid w:val="00D322C4"/>
    <w:rsid w:val="00D36930"/>
    <w:rsid w:val="00D42266"/>
    <w:rsid w:val="00D429AA"/>
    <w:rsid w:val="00D42C43"/>
    <w:rsid w:val="00D430EA"/>
    <w:rsid w:val="00D43D0F"/>
    <w:rsid w:val="00D440DB"/>
    <w:rsid w:val="00D44191"/>
    <w:rsid w:val="00D50256"/>
    <w:rsid w:val="00D50BA4"/>
    <w:rsid w:val="00D526F5"/>
    <w:rsid w:val="00D5575A"/>
    <w:rsid w:val="00D56CA4"/>
    <w:rsid w:val="00D62C4F"/>
    <w:rsid w:val="00D63B73"/>
    <w:rsid w:val="00D64153"/>
    <w:rsid w:val="00D73AA4"/>
    <w:rsid w:val="00D80272"/>
    <w:rsid w:val="00D80C53"/>
    <w:rsid w:val="00D80F49"/>
    <w:rsid w:val="00D81DAE"/>
    <w:rsid w:val="00D821F1"/>
    <w:rsid w:val="00D82888"/>
    <w:rsid w:val="00D84A03"/>
    <w:rsid w:val="00D85396"/>
    <w:rsid w:val="00D87EF9"/>
    <w:rsid w:val="00D90F58"/>
    <w:rsid w:val="00D93F7B"/>
    <w:rsid w:val="00D946E6"/>
    <w:rsid w:val="00D95F24"/>
    <w:rsid w:val="00D9637F"/>
    <w:rsid w:val="00DA1A63"/>
    <w:rsid w:val="00DA334E"/>
    <w:rsid w:val="00DB1411"/>
    <w:rsid w:val="00DB2777"/>
    <w:rsid w:val="00DB308C"/>
    <w:rsid w:val="00DC1327"/>
    <w:rsid w:val="00DC313C"/>
    <w:rsid w:val="00DC35C7"/>
    <w:rsid w:val="00DC4B47"/>
    <w:rsid w:val="00DC644C"/>
    <w:rsid w:val="00DD0053"/>
    <w:rsid w:val="00DD109B"/>
    <w:rsid w:val="00DD2EF8"/>
    <w:rsid w:val="00DD3088"/>
    <w:rsid w:val="00DD72AE"/>
    <w:rsid w:val="00DE331D"/>
    <w:rsid w:val="00DE35C5"/>
    <w:rsid w:val="00DE412B"/>
    <w:rsid w:val="00DE4DF7"/>
    <w:rsid w:val="00DE7E3C"/>
    <w:rsid w:val="00DF11E8"/>
    <w:rsid w:val="00DF3BC1"/>
    <w:rsid w:val="00DF5368"/>
    <w:rsid w:val="00DF53D3"/>
    <w:rsid w:val="00E006D5"/>
    <w:rsid w:val="00E03D71"/>
    <w:rsid w:val="00E04CB6"/>
    <w:rsid w:val="00E0655A"/>
    <w:rsid w:val="00E065C6"/>
    <w:rsid w:val="00E0666A"/>
    <w:rsid w:val="00E06A6A"/>
    <w:rsid w:val="00E06E4A"/>
    <w:rsid w:val="00E10C70"/>
    <w:rsid w:val="00E12AB3"/>
    <w:rsid w:val="00E13BCA"/>
    <w:rsid w:val="00E14D27"/>
    <w:rsid w:val="00E16452"/>
    <w:rsid w:val="00E16AB2"/>
    <w:rsid w:val="00E16C7C"/>
    <w:rsid w:val="00E16FF9"/>
    <w:rsid w:val="00E175FB"/>
    <w:rsid w:val="00E17BB5"/>
    <w:rsid w:val="00E202CF"/>
    <w:rsid w:val="00E20FE6"/>
    <w:rsid w:val="00E23C9A"/>
    <w:rsid w:val="00E24621"/>
    <w:rsid w:val="00E26834"/>
    <w:rsid w:val="00E26C1F"/>
    <w:rsid w:val="00E27A15"/>
    <w:rsid w:val="00E305C7"/>
    <w:rsid w:val="00E31F51"/>
    <w:rsid w:val="00E33B4F"/>
    <w:rsid w:val="00E34D83"/>
    <w:rsid w:val="00E3649D"/>
    <w:rsid w:val="00E371FE"/>
    <w:rsid w:val="00E37604"/>
    <w:rsid w:val="00E409E6"/>
    <w:rsid w:val="00E40F05"/>
    <w:rsid w:val="00E41450"/>
    <w:rsid w:val="00E41C9A"/>
    <w:rsid w:val="00E42FDC"/>
    <w:rsid w:val="00E4392E"/>
    <w:rsid w:val="00E43B7B"/>
    <w:rsid w:val="00E505B1"/>
    <w:rsid w:val="00E50C7D"/>
    <w:rsid w:val="00E50EE3"/>
    <w:rsid w:val="00E53869"/>
    <w:rsid w:val="00E562C5"/>
    <w:rsid w:val="00E57346"/>
    <w:rsid w:val="00E57888"/>
    <w:rsid w:val="00E61DC5"/>
    <w:rsid w:val="00E63F99"/>
    <w:rsid w:val="00E64442"/>
    <w:rsid w:val="00E644B4"/>
    <w:rsid w:val="00E719E7"/>
    <w:rsid w:val="00E72AB9"/>
    <w:rsid w:val="00E72D3B"/>
    <w:rsid w:val="00E7339C"/>
    <w:rsid w:val="00E734F7"/>
    <w:rsid w:val="00E745C0"/>
    <w:rsid w:val="00E749DE"/>
    <w:rsid w:val="00E75259"/>
    <w:rsid w:val="00E85809"/>
    <w:rsid w:val="00E86A1F"/>
    <w:rsid w:val="00E87600"/>
    <w:rsid w:val="00E877AC"/>
    <w:rsid w:val="00E87949"/>
    <w:rsid w:val="00E87F58"/>
    <w:rsid w:val="00E9086E"/>
    <w:rsid w:val="00E9407B"/>
    <w:rsid w:val="00E95135"/>
    <w:rsid w:val="00E96230"/>
    <w:rsid w:val="00E965A7"/>
    <w:rsid w:val="00EA04F8"/>
    <w:rsid w:val="00EA3E31"/>
    <w:rsid w:val="00EA5457"/>
    <w:rsid w:val="00EA6CE9"/>
    <w:rsid w:val="00EA7465"/>
    <w:rsid w:val="00EB09E5"/>
    <w:rsid w:val="00EB1266"/>
    <w:rsid w:val="00EB464F"/>
    <w:rsid w:val="00EB4D93"/>
    <w:rsid w:val="00EB6E89"/>
    <w:rsid w:val="00EB6FD1"/>
    <w:rsid w:val="00EC1DA9"/>
    <w:rsid w:val="00EC650D"/>
    <w:rsid w:val="00ED1020"/>
    <w:rsid w:val="00ED290E"/>
    <w:rsid w:val="00ED3077"/>
    <w:rsid w:val="00ED3ACA"/>
    <w:rsid w:val="00ED70EA"/>
    <w:rsid w:val="00ED78B8"/>
    <w:rsid w:val="00ED7984"/>
    <w:rsid w:val="00ED79E4"/>
    <w:rsid w:val="00EE0882"/>
    <w:rsid w:val="00EE19C3"/>
    <w:rsid w:val="00EE35A2"/>
    <w:rsid w:val="00EE3DEF"/>
    <w:rsid w:val="00EE5FED"/>
    <w:rsid w:val="00EE69FA"/>
    <w:rsid w:val="00EE726A"/>
    <w:rsid w:val="00EF1039"/>
    <w:rsid w:val="00EF3820"/>
    <w:rsid w:val="00EF41E5"/>
    <w:rsid w:val="00EF6F92"/>
    <w:rsid w:val="00F015FE"/>
    <w:rsid w:val="00F021CE"/>
    <w:rsid w:val="00F02285"/>
    <w:rsid w:val="00F034C4"/>
    <w:rsid w:val="00F0493B"/>
    <w:rsid w:val="00F05BE3"/>
    <w:rsid w:val="00F060F7"/>
    <w:rsid w:val="00F064A9"/>
    <w:rsid w:val="00F115A6"/>
    <w:rsid w:val="00F12586"/>
    <w:rsid w:val="00F141FE"/>
    <w:rsid w:val="00F1512A"/>
    <w:rsid w:val="00F15AA5"/>
    <w:rsid w:val="00F16F2C"/>
    <w:rsid w:val="00F20C74"/>
    <w:rsid w:val="00F223E2"/>
    <w:rsid w:val="00F2322C"/>
    <w:rsid w:val="00F258A6"/>
    <w:rsid w:val="00F273CC"/>
    <w:rsid w:val="00F3085C"/>
    <w:rsid w:val="00F32758"/>
    <w:rsid w:val="00F35577"/>
    <w:rsid w:val="00F37260"/>
    <w:rsid w:val="00F37D71"/>
    <w:rsid w:val="00F44963"/>
    <w:rsid w:val="00F44C66"/>
    <w:rsid w:val="00F46334"/>
    <w:rsid w:val="00F4703C"/>
    <w:rsid w:val="00F47BDF"/>
    <w:rsid w:val="00F50EE4"/>
    <w:rsid w:val="00F5115F"/>
    <w:rsid w:val="00F5425B"/>
    <w:rsid w:val="00F54E74"/>
    <w:rsid w:val="00F55D0D"/>
    <w:rsid w:val="00F5700C"/>
    <w:rsid w:val="00F576C2"/>
    <w:rsid w:val="00F57E3B"/>
    <w:rsid w:val="00F60477"/>
    <w:rsid w:val="00F60588"/>
    <w:rsid w:val="00F63FBB"/>
    <w:rsid w:val="00F66E81"/>
    <w:rsid w:val="00F7322B"/>
    <w:rsid w:val="00F760D3"/>
    <w:rsid w:val="00F766BC"/>
    <w:rsid w:val="00F80613"/>
    <w:rsid w:val="00F81922"/>
    <w:rsid w:val="00F81F64"/>
    <w:rsid w:val="00F82AEF"/>
    <w:rsid w:val="00F83415"/>
    <w:rsid w:val="00F83E98"/>
    <w:rsid w:val="00F840A6"/>
    <w:rsid w:val="00F84B5B"/>
    <w:rsid w:val="00F84BE0"/>
    <w:rsid w:val="00F857C5"/>
    <w:rsid w:val="00F86310"/>
    <w:rsid w:val="00F9011D"/>
    <w:rsid w:val="00F903AE"/>
    <w:rsid w:val="00F907F1"/>
    <w:rsid w:val="00F9123D"/>
    <w:rsid w:val="00F9212D"/>
    <w:rsid w:val="00F93207"/>
    <w:rsid w:val="00F9347F"/>
    <w:rsid w:val="00F93D4A"/>
    <w:rsid w:val="00F93EDE"/>
    <w:rsid w:val="00F949DC"/>
    <w:rsid w:val="00F94DC2"/>
    <w:rsid w:val="00F95A3A"/>
    <w:rsid w:val="00FA009A"/>
    <w:rsid w:val="00FA00A3"/>
    <w:rsid w:val="00FA0F7E"/>
    <w:rsid w:val="00FA3834"/>
    <w:rsid w:val="00FA5545"/>
    <w:rsid w:val="00FA7165"/>
    <w:rsid w:val="00FA7995"/>
    <w:rsid w:val="00FB35A2"/>
    <w:rsid w:val="00FB4FFE"/>
    <w:rsid w:val="00FB6498"/>
    <w:rsid w:val="00FC5CE1"/>
    <w:rsid w:val="00FC78F3"/>
    <w:rsid w:val="00FD26CF"/>
    <w:rsid w:val="00FD46A4"/>
    <w:rsid w:val="00FD46CD"/>
    <w:rsid w:val="00FD68A9"/>
    <w:rsid w:val="00FD6DC2"/>
    <w:rsid w:val="00FE00A0"/>
    <w:rsid w:val="00FE1136"/>
    <w:rsid w:val="00FE1D35"/>
    <w:rsid w:val="00FE62AF"/>
    <w:rsid w:val="00FE729A"/>
    <w:rsid w:val="00FE7B94"/>
    <w:rsid w:val="00FF14E9"/>
    <w:rsid w:val="00FF3D51"/>
    <w:rsid w:val="00FF3FA1"/>
    <w:rsid w:val="01042CD0"/>
    <w:rsid w:val="01062EEC"/>
    <w:rsid w:val="0107283E"/>
    <w:rsid w:val="010A29DC"/>
    <w:rsid w:val="01161381"/>
    <w:rsid w:val="012A0687"/>
    <w:rsid w:val="01395070"/>
    <w:rsid w:val="013F254A"/>
    <w:rsid w:val="01423F24"/>
    <w:rsid w:val="01536131"/>
    <w:rsid w:val="01635C49"/>
    <w:rsid w:val="018067FB"/>
    <w:rsid w:val="01875DDB"/>
    <w:rsid w:val="018F071F"/>
    <w:rsid w:val="01907957"/>
    <w:rsid w:val="019414EF"/>
    <w:rsid w:val="01951F91"/>
    <w:rsid w:val="01987FE8"/>
    <w:rsid w:val="019D73AC"/>
    <w:rsid w:val="01A3549B"/>
    <w:rsid w:val="01AF0E8E"/>
    <w:rsid w:val="01B36BD0"/>
    <w:rsid w:val="01BD35AB"/>
    <w:rsid w:val="01C54B55"/>
    <w:rsid w:val="01CC1A40"/>
    <w:rsid w:val="01CD008B"/>
    <w:rsid w:val="01D6609C"/>
    <w:rsid w:val="01E25970"/>
    <w:rsid w:val="01E46D89"/>
    <w:rsid w:val="01E97F30"/>
    <w:rsid w:val="01EF3980"/>
    <w:rsid w:val="01EF7B55"/>
    <w:rsid w:val="01FF1E15"/>
    <w:rsid w:val="020F60D4"/>
    <w:rsid w:val="02123AD6"/>
    <w:rsid w:val="02123D4B"/>
    <w:rsid w:val="02194126"/>
    <w:rsid w:val="02201B0E"/>
    <w:rsid w:val="02265DBC"/>
    <w:rsid w:val="022B6A4D"/>
    <w:rsid w:val="023575E5"/>
    <w:rsid w:val="024C0DD3"/>
    <w:rsid w:val="02535CBD"/>
    <w:rsid w:val="025D08EA"/>
    <w:rsid w:val="025E69E7"/>
    <w:rsid w:val="02692CB1"/>
    <w:rsid w:val="027C5214"/>
    <w:rsid w:val="0284056C"/>
    <w:rsid w:val="02873BB9"/>
    <w:rsid w:val="0295277A"/>
    <w:rsid w:val="02A044A1"/>
    <w:rsid w:val="02A824AD"/>
    <w:rsid w:val="02A91D81"/>
    <w:rsid w:val="02AB3D4B"/>
    <w:rsid w:val="02BF15A4"/>
    <w:rsid w:val="02C10E79"/>
    <w:rsid w:val="02C8111D"/>
    <w:rsid w:val="02DA018C"/>
    <w:rsid w:val="02DE5371"/>
    <w:rsid w:val="02DE7C7D"/>
    <w:rsid w:val="02EE59E6"/>
    <w:rsid w:val="02EF251A"/>
    <w:rsid w:val="02F17D35"/>
    <w:rsid w:val="02FB52A4"/>
    <w:rsid w:val="02FF3845"/>
    <w:rsid w:val="03084CFA"/>
    <w:rsid w:val="030A5045"/>
    <w:rsid w:val="030C3556"/>
    <w:rsid w:val="030F42DA"/>
    <w:rsid w:val="03103BAE"/>
    <w:rsid w:val="03130C94"/>
    <w:rsid w:val="0320357A"/>
    <w:rsid w:val="03215DBB"/>
    <w:rsid w:val="033B3004"/>
    <w:rsid w:val="033F494F"/>
    <w:rsid w:val="035717DD"/>
    <w:rsid w:val="035B0083"/>
    <w:rsid w:val="03645ED8"/>
    <w:rsid w:val="03656E4C"/>
    <w:rsid w:val="03766107"/>
    <w:rsid w:val="037B196F"/>
    <w:rsid w:val="03822CFE"/>
    <w:rsid w:val="03932C21"/>
    <w:rsid w:val="039C24ED"/>
    <w:rsid w:val="03A0472D"/>
    <w:rsid w:val="03A0493A"/>
    <w:rsid w:val="03A26EFC"/>
    <w:rsid w:val="03AF786B"/>
    <w:rsid w:val="03B629A7"/>
    <w:rsid w:val="03B657D7"/>
    <w:rsid w:val="03B804CE"/>
    <w:rsid w:val="03C03826"/>
    <w:rsid w:val="03C926DB"/>
    <w:rsid w:val="03D33559"/>
    <w:rsid w:val="03DB41BC"/>
    <w:rsid w:val="03F51722"/>
    <w:rsid w:val="03FB456B"/>
    <w:rsid w:val="04021749"/>
    <w:rsid w:val="040E27E3"/>
    <w:rsid w:val="040F3E66"/>
    <w:rsid w:val="041C5667"/>
    <w:rsid w:val="04210386"/>
    <w:rsid w:val="04245B63"/>
    <w:rsid w:val="042C2C6A"/>
    <w:rsid w:val="0433224A"/>
    <w:rsid w:val="04336F9C"/>
    <w:rsid w:val="043C0515"/>
    <w:rsid w:val="043D6C25"/>
    <w:rsid w:val="04482997"/>
    <w:rsid w:val="044B1342"/>
    <w:rsid w:val="044B64F8"/>
    <w:rsid w:val="045C213B"/>
    <w:rsid w:val="04657F2A"/>
    <w:rsid w:val="04687CAC"/>
    <w:rsid w:val="046E707E"/>
    <w:rsid w:val="047168CE"/>
    <w:rsid w:val="04771026"/>
    <w:rsid w:val="047A5783"/>
    <w:rsid w:val="04851E24"/>
    <w:rsid w:val="049115C6"/>
    <w:rsid w:val="04A92465"/>
    <w:rsid w:val="04B0389B"/>
    <w:rsid w:val="04B349A2"/>
    <w:rsid w:val="04B769D7"/>
    <w:rsid w:val="04BA4933"/>
    <w:rsid w:val="04C44C81"/>
    <w:rsid w:val="04D433C6"/>
    <w:rsid w:val="04D910B5"/>
    <w:rsid w:val="04E65F25"/>
    <w:rsid w:val="04EB6681"/>
    <w:rsid w:val="04F938AD"/>
    <w:rsid w:val="0500596A"/>
    <w:rsid w:val="050B287F"/>
    <w:rsid w:val="051931EE"/>
    <w:rsid w:val="052102F4"/>
    <w:rsid w:val="05216546"/>
    <w:rsid w:val="05237BC9"/>
    <w:rsid w:val="052878D5"/>
    <w:rsid w:val="052E4492"/>
    <w:rsid w:val="052E656D"/>
    <w:rsid w:val="053C6EDC"/>
    <w:rsid w:val="05473744"/>
    <w:rsid w:val="05603A92"/>
    <w:rsid w:val="05693EDD"/>
    <w:rsid w:val="057523EE"/>
    <w:rsid w:val="05776166"/>
    <w:rsid w:val="05835CF9"/>
    <w:rsid w:val="058E5C4A"/>
    <w:rsid w:val="0591547A"/>
    <w:rsid w:val="05A222A6"/>
    <w:rsid w:val="05A30C46"/>
    <w:rsid w:val="05AB76A4"/>
    <w:rsid w:val="05BC1DCB"/>
    <w:rsid w:val="05BC5D2F"/>
    <w:rsid w:val="05C25634"/>
    <w:rsid w:val="05E276C4"/>
    <w:rsid w:val="05F17CC7"/>
    <w:rsid w:val="05F37EA5"/>
    <w:rsid w:val="05F45A09"/>
    <w:rsid w:val="05FE23E4"/>
    <w:rsid w:val="06053772"/>
    <w:rsid w:val="06127C3D"/>
    <w:rsid w:val="06132520"/>
    <w:rsid w:val="06141C07"/>
    <w:rsid w:val="061B2F96"/>
    <w:rsid w:val="062036E0"/>
    <w:rsid w:val="062469D1"/>
    <w:rsid w:val="062956B3"/>
    <w:rsid w:val="06316315"/>
    <w:rsid w:val="06366E11"/>
    <w:rsid w:val="06383B48"/>
    <w:rsid w:val="0639209C"/>
    <w:rsid w:val="063B3638"/>
    <w:rsid w:val="063B7194"/>
    <w:rsid w:val="063C1B12"/>
    <w:rsid w:val="064355C4"/>
    <w:rsid w:val="066761DB"/>
    <w:rsid w:val="067601CC"/>
    <w:rsid w:val="067E4CFE"/>
    <w:rsid w:val="0680104B"/>
    <w:rsid w:val="068B18BB"/>
    <w:rsid w:val="068E6E59"/>
    <w:rsid w:val="069114AA"/>
    <w:rsid w:val="06930D7E"/>
    <w:rsid w:val="069C40D7"/>
    <w:rsid w:val="06A25465"/>
    <w:rsid w:val="06B62CBE"/>
    <w:rsid w:val="06DA69AD"/>
    <w:rsid w:val="06DD7036"/>
    <w:rsid w:val="06ED7D27"/>
    <w:rsid w:val="06F37A6F"/>
    <w:rsid w:val="06F53395"/>
    <w:rsid w:val="06FC31AA"/>
    <w:rsid w:val="06FD16A1"/>
    <w:rsid w:val="06FE7501"/>
    <w:rsid w:val="070064C0"/>
    <w:rsid w:val="07046D5D"/>
    <w:rsid w:val="070A2B39"/>
    <w:rsid w:val="071D4AEC"/>
    <w:rsid w:val="07266C48"/>
    <w:rsid w:val="074732EA"/>
    <w:rsid w:val="075133D3"/>
    <w:rsid w:val="07524795"/>
    <w:rsid w:val="07550729"/>
    <w:rsid w:val="075C7D70"/>
    <w:rsid w:val="075E138C"/>
    <w:rsid w:val="076F5347"/>
    <w:rsid w:val="076F767D"/>
    <w:rsid w:val="077706A0"/>
    <w:rsid w:val="077B0190"/>
    <w:rsid w:val="077C19BA"/>
    <w:rsid w:val="077D7022"/>
    <w:rsid w:val="0781151E"/>
    <w:rsid w:val="07886409"/>
    <w:rsid w:val="078A03D3"/>
    <w:rsid w:val="078A2181"/>
    <w:rsid w:val="078E1545"/>
    <w:rsid w:val="07933833"/>
    <w:rsid w:val="079B4D5C"/>
    <w:rsid w:val="079E1E61"/>
    <w:rsid w:val="079E69A8"/>
    <w:rsid w:val="079F3753"/>
    <w:rsid w:val="079F6825"/>
    <w:rsid w:val="07A33243"/>
    <w:rsid w:val="07AD7EC2"/>
    <w:rsid w:val="07B436A2"/>
    <w:rsid w:val="07B45450"/>
    <w:rsid w:val="07BE4D57"/>
    <w:rsid w:val="07BE62CF"/>
    <w:rsid w:val="07C02047"/>
    <w:rsid w:val="07D3217A"/>
    <w:rsid w:val="07D73CCF"/>
    <w:rsid w:val="07D94EB6"/>
    <w:rsid w:val="07DF4228"/>
    <w:rsid w:val="07E8334B"/>
    <w:rsid w:val="07E86EA8"/>
    <w:rsid w:val="07EA2C20"/>
    <w:rsid w:val="07EB3B13"/>
    <w:rsid w:val="07ED09D6"/>
    <w:rsid w:val="07EF74A4"/>
    <w:rsid w:val="07F910B5"/>
    <w:rsid w:val="08033CE1"/>
    <w:rsid w:val="081C1E63"/>
    <w:rsid w:val="081E0B1B"/>
    <w:rsid w:val="081E4FBF"/>
    <w:rsid w:val="08273E74"/>
    <w:rsid w:val="08343DB7"/>
    <w:rsid w:val="083640B7"/>
    <w:rsid w:val="0858227F"/>
    <w:rsid w:val="0858402D"/>
    <w:rsid w:val="085B12C6"/>
    <w:rsid w:val="085C67F6"/>
    <w:rsid w:val="085F360E"/>
    <w:rsid w:val="08607386"/>
    <w:rsid w:val="08687FE8"/>
    <w:rsid w:val="086D1B4F"/>
    <w:rsid w:val="086F1377"/>
    <w:rsid w:val="08716E9D"/>
    <w:rsid w:val="087E15BA"/>
    <w:rsid w:val="08843074"/>
    <w:rsid w:val="08844E22"/>
    <w:rsid w:val="08864B10"/>
    <w:rsid w:val="088D1673"/>
    <w:rsid w:val="08907C6B"/>
    <w:rsid w:val="08955281"/>
    <w:rsid w:val="089C0BF8"/>
    <w:rsid w:val="08A00C2D"/>
    <w:rsid w:val="08A23155"/>
    <w:rsid w:val="08A96637"/>
    <w:rsid w:val="08AA0601"/>
    <w:rsid w:val="08B1373D"/>
    <w:rsid w:val="08B17E14"/>
    <w:rsid w:val="08D13DE0"/>
    <w:rsid w:val="08DE1351"/>
    <w:rsid w:val="08DF02AB"/>
    <w:rsid w:val="08E458C1"/>
    <w:rsid w:val="08E65ADD"/>
    <w:rsid w:val="08E734D3"/>
    <w:rsid w:val="08F24482"/>
    <w:rsid w:val="08FA50E4"/>
    <w:rsid w:val="09177D3F"/>
    <w:rsid w:val="09187C60"/>
    <w:rsid w:val="091C6268"/>
    <w:rsid w:val="09261A44"/>
    <w:rsid w:val="092D370C"/>
    <w:rsid w:val="093C334E"/>
    <w:rsid w:val="093C394F"/>
    <w:rsid w:val="093E603B"/>
    <w:rsid w:val="093F413D"/>
    <w:rsid w:val="09412D13"/>
    <w:rsid w:val="09504C23"/>
    <w:rsid w:val="09506B74"/>
    <w:rsid w:val="09542451"/>
    <w:rsid w:val="095742E5"/>
    <w:rsid w:val="095E7103"/>
    <w:rsid w:val="095F29E9"/>
    <w:rsid w:val="09646A02"/>
    <w:rsid w:val="096E72F9"/>
    <w:rsid w:val="097C1F9D"/>
    <w:rsid w:val="097D1872"/>
    <w:rsid w:val="098024B3"/>
    <w:rsid w:val="098D5F59"/>
    <w:rsid w:val="099B2EC4"/>
    <w:rsid w:val="09AD35A2"/>
    <w:rsid w:val="09AF1E65"/>
    <w:rsid w:val="09B71227"/>
    <w:rsid w:val="09BA7F36"/>
    <w:rsid w:val="09BC07F3"/>
    <w:rsid w:val="09BC7A3F"/>
    <w:rsid w:val="09BE25B6"/>
    <w:rsid w:val="09C6146A"/>
    <w:rsid w:val="09E35B78"/>
    <w:rsid w:val="09FB4CA0"/>
    <w:rsid w:val="0A002BCE"/>
    <w:rsid w:val="0A03752B"/>
    <w:rsid w:val="0A0A00B0"/>
    <w:rsid w:val="0A1026E6"/>
    <w:rsid w:val="0A13722F"/>
    <w:rsid w:val="0A143242"/>
    <w:rsid w:val="0A171CC6"/>
    <w:rsid w:val="0A1C72DC"/>
    <w:rsid w:val="0A1D552E"/>
    <w:rsid w:val="0A2368BD"/>
    <w:rsid w:val="0A252635"/>
    <w:rsid w:val="0A2D56D2"/>
    <w:rsid w:val="0A381556"/>
    <w:rsid w:val="0A3B2B22"/>
    <w:rsid w:val="0A3D172D"/>
    <w:rsid w:val="0A432ABB"/>
    <w:rsid w:val="0A4E6417"/>
    <w:rsid w:val="0A544CC8"/>
    <w:rsid w:val="0A59408D"/>
    <w:rsid w:val="0A5B7348"/>
    <w:rsid w:val="0A6273E5"/>
    <w:rsid w:val="0A6543AA"/>
    <w:rsid w:val="0A717628"/>
    <w:rsid w:val="0A894972"/>
    <w:rsid w:val="0A957C0F"/>
    <w:rsid w:val="0A980495"/>
    <w:rsid w:val="0A99092D"/>
    <w:rsid w:val="0A9B6453"/>
    <w:rsid w:val="0AA90B70"/>
    <w:rsid w:val="0AAC0660"/>
    <w:rsid w:val="0AB063A2"/>
    <w:rsid w:val="0AC51722"/>
    <w:rsid w:val="0AC73A13"/>
    <w:rsid w:val="0AC87495"/>
    <w:rsid w:val="0AD36129"/>
    <w:rsid w:val="0AD876A7"/>
    <w:rsid w:val="0AE0030A"/>
    <w:rsid w:val="0AE75158"/>
    <w:rsid w:val="0AE80A2B"/>
    <w:rsid w:val="0AE95411"/>
    <w:rsid w:val="0AEE0C79"/>
    <w:rsid w:val="0B100BEF"/>
    <w:rsid w:val="0B1309EF"/>
    <w:rsid w:val="0B136B3B"/>
    <w:rsid w:val="0B1526A9"/>
    <w:rsid w:val="0B163D2C"/>
    <w:rsid w:val="0B1647F8"/>
    <w:rsid w:val="0B1851F4"/>
    <w:rsid w:val="0B1A381C"/>
    <w:rsid w:val="0B1B1342"/>
    <w:rsid w:val="0B244263"/>
    <w:rsid w:val="0B2D5EA0"/>
    <w:rsid w:val="0B34474A"/>
    <w:rsid w:val="0B380146"/>
    <w:rsid w:val="0B3A2110"/>
    <w:rsid w:val="0B3F7726"/>
    <w:rsid w:val="0B507726"/>
    <w:rsid w:val="0B54217A"/>
    <w:rsid w:val="0B602BBE"/>
    <w:rsid w:val="0B6B4077"/>
    <w:rsid w:val="0B73117E"/>
    <w:rsid w:val="0B772A1C"/>
    <w:rsid w:val="0B7A69B0"/>
    <w:rsid w:val="0B851063"/>
    <w:rsid w:val="0B883708"/>
    <w:rsid w:val="0B8909A2"/>
    <w:rsid w:val="0B8A0AAE"/>
    <w:rsid w:val="0B8E420A"/>
    <w:rsid w:val="0B9510F4"/>
    <w:rsid w:val="0B972534"/>
    <w:rsid w:val="0B9855E1"/>
    <w:rsid w:val="0B9F6417"/>
    <w:rsid w:val="0BA457DB"/>
    <w:rsid w:val="0BA758F1"/>
    <w:rsid w:val="0BA93258"/>
    <w:rsid w:val="0BB4055A"/>
    <w:rsid w:val="0BB93035"/>
    <w:rsid w:val="0BC1013B"/>
    <w:rsid w:val="0BC419DA"/>
    <w:rsid w:val="0BC77592"/>
    <w:rsid w:val="0BCB5162"/>
    <w:rsid w:val="0BD24A44"/>
    <w:rsid w:val="0BD55995"/>
    <w:rsid w:val="0BDE750C"/>
    <w:rsid w:val="0BE8391A"/>
    <w:rsid w:val="0BF422BF"/>
    <w:rsid w:val="0BFE4EEC"/>
    <w:rsid w:val="0C010CA4"/>
    <w:rsid w:val="0C1D16F4"/>
    <w:rsid w:val="0C22507E"/>
    <w:rsid w:val="0C230DF6"/>
    <w:rsid w:val="0C2B3FDB"/>
    <w:rsid w:val="0C2D757F"/>
    <w:rsid w:val="0C2F1549"/>
    <w:rsid w:val="0C3F0276"/>
    <w:rsid w:val="0C431242"/>
    <w:rsid w:val="0C48260B"/>
    <w:rsid w:val="0C517711"/>
    <w:rsid w:val="0C525861"/>
    <w:rsid w:val="0C57284E"/>
    <w:rsid w:val="0C5A1126"/>
    <w:rsid w:val="0C6C454B"/>
    <w:rsid w:val="0C7358DA"/>
    <w:rsid w:val="0C762CD4"/>
    <w:rsid w:val="0C7E602C"/>
    <w:rsid w:val="0C7E7DDA"/>
    <w:rsid w:val="0C863D4E"/>
    <w:rsid w:val="0C886EAB"/>
    <w:rsid w:val="0C8E44C1"/>
    <w:rsid w:val="0C9870EE"/>
    <w:rsid w:val="0CA35A93"/>
    <w:rsid w:val="0CB67574"/>
    <w:rsid w:val="0CBA7C08"/>
    <w:rsid w:val="0CBB102F"/>
    <w:rsid w:val="0CBF15D6"/>
    <w:rsid w:val="0CE2480D"/>
    <w:rsid w:val="0CE51C08"/>
    <w:rsid w:val="0CF739D6"/>
    <w:rsid w:val="0CF91069"/>
    <w:rsid w:val="0D0A282E"/>
    <w:rsid w:val="0D2520E3"/>
    <w:rsid w:val="0D2A3ABE"/>
    <w:rsid w:val="0D2D431B"/>
    <w:rsid w:val="0D3046A8"/>
    <w:rsid w:val="0D313529"/>
    <w:rsid w:val="0D476389"/>
    <w:rsid w:val="0D5702E1"/>
    <w:rsid w:val="0D5F5E5E"/>
    <w:rsid w:val="0D6B4F92"/>
    <w:rsid w:val="0D6C2329"/>
    <w:rsid w:val="0D71405A"/>
    <w:rsid w:val="0D75742F"/>
    <w:rsid w:val="0D7C07BE"/>
    <w:rsid w:val="0D860123"/>
    <w:rsid w:val="0D8756FE"/>
    <w:rsid w:val="0D931B15"/>
    <w:rsid w:val="0D9755F8"/>
    <w:rsid w:val="0D9B0B0C"/>
    <w:rsid w:val="0DA41AC3"/>
    <w:rsid w:val="0DAB10A3"/>
    <w:rsid w:val="0DBF25EE"/>
    <w:rsid w:val="0DC43F13"/>
    <w:rsid w:val="0DCF4D92"/>
    <w:rsid w:val="0DD26630"/>
    <w:rsid w:val="0DD8176C"/>
    <w:rsid w:val="0DE34399"/>
    <w:rsid w:val="0DE85E53"/>
    <w:rsid w:val="0DE95727"/>
    <w:rsid w:val="0DEB14A0"/>
    <w:rsid w:val="0DF70EC9"/>
    <w:rsid w:val="0E135BF1"/>
    <w:rsid w:val="0E142092"/>
    <w:rsid w:val="0E190D9D"/>
    <w:rsid w:val="0E1D356C"/>
    <w:rsid w:val="0E214EC1"/>
    <w:rsid w:val="0E33255C"/>
    <w:rsid w:val="0E3957FF"/>
    <w:rsid w:val="0E3E2325"/>
    <w:rsid w:val="0E3F3599"/>
    <w:rsid w:val="0E43546C"/>
    <w:rsid w:val="0E657B6E"/>
    <w:rsid w:val="0E6E4869"/>
    <w:rsid w:val="0E7D2A40"/>
    <w:rsid w:val="0E7E0566"/>
    <w:rsid w:val="0E944F5F"/>
    <w:rsid w:val="0E947D89"/>
    <w:rsid w:val="0EA004DC"/>
    <w:rsid w:val="0EA53D44"/>
    <w:rsid w:val="0EA855E3"/>
    <w:rsid w:val="0EAC15F9"/>
    <w:rsid w:val="0EB33357"/>
    <w:rsid w:val="0EC33362"/>
    <w:rsid w:val="0EC71533"/>
    <w:rsid w:val="0EC935BE"/>
    <w:rsid w:val="0ECD6DF7"/>
    <w:rsid w:val="0ED43D0B"/>
    <w:rsid w:val="0ED63EFE"/>
    <w:rsid w:val="0ED87C76"/>
    <w:rsid w:val="0EDD06A4"/>
    <w:rsid w:val="0EDD4E51"/>
    <w:rsid w:val="0EDE1004"/>
    <w:rsid w:val="0EE04D7C"/>
    <w:rsid w:val="0EE228A3"/>
    <w:rsid w:val="0EE45B65"/>
    <w:rsid w:val="0EE851DC"/>
    <w:rsid w:val="0EE91E83"/>
    <w:rsid w:val="0EF05FCC"/>
    <w:rsid w:val="0F077D11"/>
    <w:rsid w:val="0F0C1D76"/>
    <w:rsid w:val="0F114F36"/>
    <w:rsid w:val="0F1D1B2D"/>
    <w:rsid w:val="0F1F2AF3"/>
    <w:rsid w:val="0F1F58A5"/>
    <w:rsid w:val="0F205179"/>
    <w:rsid w:val="0F225B22"/>
    <w:rsid w:val="0F24110D"/>
    <w:rsid w:val="0F2A424A"/>
    <w:rsid w:val="0F3C4FFD"/>
    <w:rsid w:val="0F4165A2"/>
    <w:rsid w:val="0F44355D"/>
    <w:rsid w:val="0F4F43AA"/>
    <w:rsid w:val="0F55081A"/>
    <w:rsid w:val="0F5D461F"/>
    <w:rsid w:val="0F5F0E86"/>
    <w:rsid w:val="0F64150A"/>
    <w:rsid w:val="0F672DA8"/>
    <w:rsid w:val="0F6E05DA"/>
    <w:rsid w:val="0F7B4AA5"/>
    <w:rsid w:val="0F7B6853"/>
    <w:rsid w:val="0F7D25CB"/>
    <w:rsid w:val="0F803E6A"/>
    <w:rsid w:val="0F87169C"/>
    <w:rsid w:val="0F912757"/>
    <w:rsid w:val="0F9A13CF"/>
    <w:rsid w:val="0FB45E33"/>
    <w:rsid w:val="0FB51D65"/>
    <w:rsid w:val="0FB95FF5"/>
    <w:rsid w:val="0FBB7521"/>
    <w:rsid w:val="0FBF0E36"/>
    <w:rsid w:val="0FCB62E7"/>
    <w:rsid w:val="0FD91EF8"/>
    <w:rsid w:val="0FED59A3"/>
    <w:rsid w:val="10014FB6"/>
    <w:rsid w:val="10042CED"/>
    <w:rsid w:val="10093E5F"/>
    <w:rsid w:val="100E76C7"/>
    <w:rsid w:val="101248F8"/>
    <w:rsid w:val="10172A20"/>
    <w:rsid w:val="1025513D"/>
    <w:rsid w:val="10305890"/>
    <w:rsid w:val="1031492B"/>
    <w:rsid w:val="103B4960"/>
    <w:rsid w:val="10455972"/>
    <w:rsid w:val="104650B3"/>
    <w:rsid w:val="10507CE0"/>
    <w:rsid w:val="10514F1F"/>
    <w:rsid w:val="105E2C03"/>
    <w:rsid w:val="10756672"/>
    <w:rsid w:val="107B2FAF"/>
    <w:rsid w:val="10831E63"/>
    <w:rsid w:val="1090632E"/>
    <w:rsid w:val="10947A13"/>
    <w:rsid w:val="109828BB"/>
    <w:rsid w:val="109A35F3"/>
    <w:rsid w:val="10A5627E"/>
    <w:rsid w:val="10AD1E32"/>
    <w:rsid w:val="10AD5132"/>
    <w:rsid w:val="10AE6171"/>
    <w:rsid w:val="10BE733F"/>
    <w:rsid w:val="10C443E8"/>
    <w:rsid w:val="10CB7366"/>
    <w:rsid w:val="10CD7582"/>
    <w:rsid w:val="10D82836"/>
    <w:rsid w:val="10DD13EE"/>
    <w:rsid w:val="10E105C1"/>
    <w:rsid w:val="10E35AA0"/>
    <w:rsid w:val="10EF1383"/>
    <w:rsid w:val="10F30828"/>
    <w:rsid w:val="10F32F36"/>
    <w:rsid w:val="10F37A1C"/>
    <w:rsid w:val="10FF7000"/>
    <w:rsid w:val="11052878"/>
    <w:rsid w:val="11082369"/>
    <w:rsid w:val="110E3E23"/>
    <w:rsid w:val="111156C1"/>
    <w:rsid w:val="112C42A9"/>
    <w:rsid w:val="113068D9"/>
    <w:rsid w:val="1134315E"/>
    <w:rsid w:val="113759E8"/>
    <w:rsid w:val="1138564F"/>
    <w:rsid w:val="113969C6"/>
    <w:rsid w:val="11415B1B"/>
    <w:rsid w:val="11444990"/>
    <w:rsid w:val="11494E5B"/>
    <w:rsid w:val="114B29A5"/>
    <w:rsid w:val="115B2DE0"/>
    <w:rsid w:val="115D46FB"/>
    <w:rsid w:val="115F0DBE"/>
    <w:rsid w:val="11665A0D"/>
    <w:rsid w:val="11677439"/>
    <w:rsid w:val="11677DCA"/>
    <w:rsid w:val="11775513"/>
    <w:rsid w:val="117A31D8"/>
    <w:rsid w:val="118440E5"/>
    <w:rsid w:val="118539B9"/>
    <w:rsid w:val="118C4D48"/>
    <w:rsid w:val="11916802"/>
    <w:rsid w:val="11AB0E62"/>
    <w:rsid w:val="11B140A0"/>
    <w:rsid w:val="11B76CE5"/>
    <w:rsid w:val="11BA3663"/>
    <w:rsid w:val="11BB6337"/>
    <w:rsid w:val="11C75D80"/>
    <w:rsid w:val="11D34725"/>
    <w:rsid w:val="11E15093"/>
    <w:rsid w:val="11E176DE"/>
    <w:rsid w:val="11E4315A"/>
    <w:rsid w:val="11EB494B"/>
    <w:rsid w:val="11EE155E"/>
    <w:rsid w:val="11FC3C7B"/>
    <w:rsid w:val="11FE7EEA"/>
    <w:rsid w:val="120B0362"/>
    <w:rsid w:val="120D4351"/>
    <w:rsid w:val="122670DE"/>
    <w:rsid w:val="12300105"/>
    <w:rsid w:val="12380704"/>
    <w:rsid w:val="123D5899"/>
    <w:rsid w:val="12414D66"/>
    <w:rsid w:val="124205F0"/>
    <w:rsid w:val="124318AA"/>
    <w:rsid w:val="124675EC"/>
    <w:rsid w:val="124A1E20"/>
    <w:rsid w:val="124D1B9B"/>
    <w:rsid w:val="124D2729"/>
    <w:rsid w:val="125A3098"/>
    <w:rsid w:val="126161D4"/>
    <w:rsid w:val="12665C66"/>
    <w:rsid w:val="12673AEC"/>
    <w:rsid w:val="1275424D"/>
    <w:rsid w:val="127A1044"/>
    <w:rsid w:val="127C0072"/>
    <w:rsid w:val="12831A9E"/>
    <w:rsid w:val="1288550F"/>
    <w:rsid w:val="128C05A8"/>
    <w:rsid w:val="12905A33"/>
    <w:rsid w:val="129245E0"/>
    <w:rsid w:val="12A06CFD"/>
    <w:rsid w:val="12A11B0C"/>
    <w:rsid w:val="12A154D1"/>
    <w:rsid w:val="12B44556"/>
    <w:rsid w:val="12BA45DB"/>
    <w:rsid w:val="12C71ED0"/>
    <w:rsid w:val="12D017C6"/>
    <w:rsid w:val="12D92C58"/>
    <w:rsid w:val="12EA03A2"/>
    <w:rsid w:val="12F369CC"/>
    <w:rsid w:val="12FB03A0"/>
    <w:rsid w:val="13031039"/>
    <w:rsid w:val="13052C0D"/>
    <w:rsid w:val="130C43B0"/>
    <w:rsid w:val="13141499"/>
    <w:rsid w:val="13274D28"/>
    <w:rsid w:val="13371973"/>
    <w:rsid w:val="13386F35"/>
    <w:rsid w:val="13433B2C"/>
    <w:rsid w:val="134D0507"/>
    <w:rsid w:val="134F7612"/>
    <w:rsid w:val="1356385F"/>
    <w:rsid w:val="135B0E75"/>
    <w:rsid w:val="1361265A"/>
    <w:rsid w:val="136616AC"/>
    <w:rsid w:val="13693592"/>
    <w:rsid w:val="13734957"/>
    <w:rsid w:val="137B5DD4"/>
    <w:rsid w:val="137D703E"/>
    <w:rsid w:val="138F28CD"/>
    <w:rsid w:val="13914897"/>
    <w:rsid w:val="13961EAE"/>
    <w:rsid w:val="13983E78"/>
    <w:rsid w:val="139E0D62"/>
    <w:rsid w:val="13AA3E8F"/>
    <w:rsid w:val="13B642FE"/>
    <w:rsid w:val="13BF1404"/>
    <w:rsid w:val="13C609E5"/>
    <w:rsid w:val="13D3470B"/>
    <w:rsid w:val="13D34EB0"/>
    <w:rsid w:val="13DA680A"/>
    <w:rsid w:val="13DA6EC8"/>
    <w:rsid w:val="13DD7ADC"/>
    <w:rsid w:val="13E0137B"/>
    <w:rsid w:val="13EB3FA7"/>
    <w:rsid w:val="13EC558A"/>
    <w:rsid w:val="13F15336"/>
    <w:rsid w:val="14021C73"/>
    <w:rsid w:val="140B464A"/>
    <w:rsid w:val="14180B15"/>
    <w:rsid w:val="142B4CEC"/>
    <w:rsid w:val="142D1ADB"/>
    <w:rsid w:val="143C2A55"/>
    <w:rsid w:val="143D4EB6"/>
    <w:rsid w:val="1444190A"/>
    <w:rsid w:val="144D18BB"/>
    <w:rsid w:val="145D565B"/>
    <w:rsid w:val="145F3FD4"/>
    <w:rsid w:val="14641FAC"/>
    <w:rsid w:val="14661880"/>
    <w:rsid w:val="146855F8"/>
    <w:rsid w:val="146B1B58"/>
    <w:rsid w:val="147C2EF7"/>
    <w:rsid w:val="147E4E1C"/>
    <w:rsid w:val="14826374"/>
    <w:rsid w:val="1482741B"/>
    <w:rsid w:val="14885A72"/>
    <w:rsid w:val="148937C0"/>
    <w:rsid w:val="14920F35"/>
    <w:rsid w:val="14945CE7"/>
    <w:rsid w:val="149A39B5"/>
    <w:rsid w:val="149E54BE"/>
    <w:rsid w:val="14AA74C9"/>
    <w:rsid w:val="14AD74AF"/>
    <w:rsid w:val="14B720DC"/>
    <w:rsid w:val="14BC1DE8"/>
    <w:rsid w:val="14BE4DE0"/>
    <w:rsid w:val="14C13027"/>
    <w:rsid w:val="14C3032F"/>
    <w:rsid w:val="14C61B27"/>
    <w:rsid w:val="14C8078D"/>
    <w:rsid w:val="14C97064"/>
    <w:rsid w:val="14CB202B"/>
    <w:rsid w:val="14D07641"/>
    <w:rsid w:val="14D27B0D"/>
    <w:rsid w:val="14D6343A"/>
    <w:rsid w:val="14E31122"/>
    <w:rsid w:val="14E37166"/>
    <w:rsid w:val="14ED3D4F"/>
    <w:rsid w:val="14EE65C0"/>
    <w:rsid w:val="15005029"/>
    <w:rsid w:val="1508115F"/>
    <w:rsid w:val="15091509"/>
    <w:rsid w:val="151614F8"/>
    <w:rsid w:val="151767D7"/>
    <w:rsid w:val="151C63E2"/>
    <w:rsid w:val="151F2A51"/>
    <w:rsid w:val="15267261"/>
    <w:rsid w:val="152B79BA"/>
    <w:rsid w:val="15364C6C"/>
    <w:rsid w:val="15543DCE"/>
    <w:rsid w:val="15637BC9"/>
    <w:rsid w:val="15657D89"/>
    <w:rsid w:val="156E569F"/>
    <w:rsid w:val="15724254"/>
    <w:rsid w:val="158741A4"/>
    <w:rsid w:val="158F12AA"/>
    <w:rsid w:val="159115AF"/>
    <w:rsid w:val="159364AC"/>
    <w:rsid w:val="1594241D"/>
    <w:rsid w:val="15A41023"/>
    <w:rsid w:val="15A4148B"/>
    <w:rsid w:val="15B53438"/>
    <w:rsid w:val="15BE4E03"/>
    <w:rsid w:val="15CA5E3E"/>
    <w:rsid w:val="15CC520E"/>
    <w:rsid w:val="15D75342"/>
    <w:rsid w:val="15DB2195"/>
    <w:rsid w:val="15DB7031"/>
    <w:rsid w:val="15EE5FD1"/>
    <w:rsid w:val="15EE7D7F"/>
    <w:rsid w:val="15F76ACD"/>
    <w:rsid w:val="15FB06EE"/>
    <w:rsid w:val="160457F4"/>
    <w:rsid w:val="1607662F"/>
    <w:rsid w:val="16092E0B"/>
    <w:rsid w:val="16126F47"/>
    <w:rsid w:val="161812A0"/>
    <w:rsid w:val="162A0288"/>
    <w:rsid w:val="162F76A7"/>
    <w:rsid w:val="16304BB3"/>
    <w:rsid w:val="16330974"/>
    <w:rsid w:val="16361190"/>
    <w:rsid w:val="1638724C"/>
    <w:rsid w:val="16423C65"/>
    <w:rsid w:val="1642631D"/>
    <w:rsid w:val="16465E0D"/>
    <w:rsid w:val="164D0F49"/>
    <w:rsid w:val="165559E4"/>
    <w:rsid w:val="165C73DE"/>
    <w:rsid w:val="165D4F05"/>
    <w:rsid w:val="166149F5"/>
    <w:rsid w:val="16677B31"/>
    <w:rsid w:val="166B13D0"/>
    <w:rsid w:val="16751832"/>
    <w:rsid w:val="16797F90"/>
    <w:rsid w:val="167A7865"/>
    <w:rsid w:val="169326D4"/>
    <w:rsid w:val="169F0179"/>
    <w:rsid w:val="16B34B25"/>
    <w:rsid w:val="16B84434"/>
    <w:rsid w:val="16BA5EB3"/>
    <w:rsid w:val="16C75E00"/>
    <w:rsid w:val="16D52CED"/>
    <w:rsid w:val="16EE2A22"/>
    <w:rsid w:val="16F413C5"/>
    <w:rsid w:val="17033A9C"/>
    <w:rsid w:val="170F5F96"/>
    <w:rsid w:val="171C4DC0"/>
    <w:rsid w:val="1720040C"/>
    <w:rsid w:val="172123D6"/>
    <w:rsid w:val="17237EFC"/>
    <w:rsid w:val="17262BCB"/>
    <w:rsid w:val="172A3039"/>
    <w:rsid w:val="172F68A1"/>
    <w:rsid w:val="1738168A"/>
    <w:rsid w:val="17384666"/>
    <w:rsid w:val="173E6AE4"/>
    <w:rsid w:val="1742432E"/>
    <w:rsid w:val="17481711"/>
    <w:rsid w:val="174D6D27"/>
    <w:rsid w:val="175B58E8"/>
    <w:rsid w:val="17620A24"/>
    <w:rsid w:val="1776002C"/>
    <w:rsid w:val="17771FF6"/>
    <w:rsid w:val="17914E66"/>
    <w:rsid w:val="17A87C9C"/>
    <w:rsid w:val="17AC6144"/>
    <w:rsid w:val="17AD4B00"/>
    <w:rsid w:val="17B60D70"/>
    <w:rsid w:val="17B73663"/>
    <w:rsid w:val="17C40215"/>
    <w:rsid w:val="17D2722C"/>
    <w:rsid w:val="17D82A95"/>
    <w:rsid w:val="17DA07FC"/>
    <w:rsid w:val="17E32D33"/>
    <w:rsid w:val="17E51656"/>
    <w:rsid w:val="17E551B2"/>
    <w:rsid w:val="17F96894"/>
    <w:rsid w:val="17FA3269"/>
    <w:rsid w:val="180E64B6"/>
    <w:rsid w:val="181B6384"/>
    <w:rsid w:val="18255A17"/>
    <w:rsid w:val="182757CA"/>
    <w:rsid w:val="18297794"/>
    <w:rsid w:val="182A0E16"/>
    <w:rsid w:val="183022DF"/>
    <w:rsid w:val="18335F1D"/>
    <w:rsid w:val="18356E46"/>
    <w:rsid w:val="18544FDE"/>
    <w:rsid w:val="186407CC"/>
    <w:rsid w:val="186C7681"/>
    <w:rsid w:val="186E164B"/>
    <w:rsid w:val="187878AE"/>
    <w:rsid w:val="18820C52"/>
    <w:rsid w:val="18842C1C"/>
    <w:rsid w:val="189A2440"/>
    <w:rsid w:val="189C7F66"/>
    <w:rsid w:val="189D12B1"/>
    <w:rsid w:val="189D5A8C"/>
    <w:rsid w:val="18A067DA"/>
    <w:rsid w:val="18AE37F5"/>
    <w:rsid w:val="18B03324"/>
    <w:rsid w:val="18B03A11"/>
    <w:rsid w:val="18B36D10"/>
    <w:rsid w:val="18C62B37"/>
    <w:rsid w:val="18E368BA"/>
    <w:rsid w:val="18E84F59"/>
    <w:rsid w:val="18E90CD1"/>
    <w:rsid w:val="18F4781C"/>
    <w:rsid w:val="18F90F15"/>
    <w:rsid w:val="18FE29CF"/>
    <w:rsid w:val="18FE2D29"/>
    <w:rsid w:val="1901426D"/>
    <w:rsid w:val="19030013"/>
    <w:rsid w:val="1905317A"/>
    <w:rsid w:val="1906204F"/>
    <w:rsid w:val="191915B7"/>
    <w:rsid w:val="191A70DD"/>
    <w:rsid w:val="191E4E1F"/>
    <w:rsid w:val="1926604D"/>
    <w:rsid w:val="19272AD4"/>
    <w:rsid w:val="192835A8"/>
    <w:rsid w:val="192A5572"/>
    <w:rsid w:val="1934019F"/>
    <w:rsid w:val="193A152D"/>
    <w:rsid w:val="19436634"/>
    <w:rsid w:val="19502AFF"/>
    <w:rsid w:val="19552CA0"/>
    <w:rsid w:val="195E521C"/>
    <w:rsid w:val="19654C02"/>
    <w:rsid w:val="196A6058"/>
    <w:rsid w:val="196D545F"/>
    <w:rsid w:val="1977008B"/>
    <w:rsid w:val="1988673C"/>
    <w:rsid w:val="198F1879"/>
    <w:rsid w:val="199450E1"/>
    <w:rsid w:val="1996441D"/>
    <w:rsid w:val="1997072D"/>
    <w:rsid w:val="19996254"/>
    <w:rsid w:val="19A1335A"/>
    <w:rsid w:val="19B117EF"/>
    <w:rsid w:val="19B7492C"/>
    <w:rsid w:val="19BD362F"/>
    <w:rsid w:val="19C37774"/>
    <w:rsid w:val="19C5529B"/>
    <w:rsid w:val="19CF6119"/>
    <w:rsid w:val="19D9057E"/>
    <w:rsid w:val="19D93A39"/>
    <w:rsid w:val="19D96F98"/>
    <w:rsid w:val="19DB686C"/>
    <w:rsid w:val="19E27BFB"/>
    <w:rsid w:val="19E35F46"/>
    <w:rsid w:val="19E73936"/>
    <w:rsid w:val="19EA6AAF"/>
    <w:rsid w:val="1A004525"/>
    <w:rsid w:val="1A0758B3"/>
    <w:rsid w:val="1A0934CC"/>
    <w:rsid w:val="1A0A2678"/>
    <w:rsid w:val="1A0E09F0"/>
    <w:rsid w:val="1A1678A4"/>
    <w:rsid w:val="1A22449B"/>
    <w:rsid w:val="1A2975D8"/>
    <w:rsid w:val="1A2A3350"/>
    <w:rsid w:val="1A2E1092"/>
    <w:rsid w:val="1A351EDA"/>
    <w:rsid w:val="1A3718D6"/>
    <w:rsid w:val="1A3B730B"/>
    <w:rsid w:val="1A404921"/>
    <w:rsid w:val="1A562397"/>
    <w:rsid w:val="1A5B175B"/>
    <w:rsid w:val="1A615A2D"/>
    <w:rsid w:val="1A696B8A"/>
    <w:rsid w:val="1A7719C8"/>
    <w:rsid w:val="1A7A6085"/>
    <w:rsid w:val="1A7C004F"/>
    <w:rsid w:val="1A8111D1"/>
    <w:rsid w:val="1A8567D8"/>
    <w:rsid w:val="1A862C7C"/>
    <w:rsid w:val="1A882CBF"/>
    <w:rsid w:val="1A891097"/>
    <w:rsid w:val="1A8B2D06"/>
    <w:rsid w:val="1A8B7DB2"/>
    <w:rsid w:val="1ABF2F99"/>
    <w:rsid w:val="1AC75042"/>
    <w:rsid w:val="1ACC0F28"/>
    <w:rsid w:val="1AD734D7"/>
    <w:rsid w:val="1ADB04AA"/>
    <w:rsid w:val="1AE17EB2"/>
    <w:rsid w:val="1AF8344E"/>
    <w:rsid w:val="1AFC1190"/>
    <w:rsid w:val="1B0357DD"/>
    <w:rsid w:val="1B0B373B"/>
    <w:rsid w:val="1B1A63D3"/>
    <w:rsid w:val="1B1F6C2C"/>
    <w:rsid w:val="1B220205"/>
    <w:rsid w:val="1B262277"/>
    <w:rsid w:val="1B2D7691"/>
    <w:rsid w:val="1B34063F"/>
    <w:rsid w:val="1B366C18"/>
    <w:rsid w:val="1B3C77DE"/>
    <w:rsid w:val="1B481CDF"/>
    <w:rsid w:val="1B4D6BB1"/>
    <w:rsid w:val="1B507ABA"/>
    <w:rsid w:val="1B570174"/>
    <w:rsid w:val="1B590390"/>
    <w:rsid w:val="1B5E59A7"/>
    <w:rsid w:val="1B62425C"/>
    <w:rsid w:val="1B6D5BEA"/>
    <w:rsid w:val="1B7C5E2D"/>
    <w:rsid w:val="1B801FD9"/>
    <w:rsid w:val="1B8A21C8"/>
    <w:rsid w:val="1B8D3B96"/>
    <w:rsid w:val="1B9211AC"/>
    <w:rsid w:val="1B9E3FF5"/>
    <w:rsid w:val="1BA3160C"/>
    <w:rsid w:val="1BAE116E"/>
    <w:rsid w:val="1BC51582"/>
    <w:rsid w:val="1BD23C9F"/>
    <w:rsid w:val="1BE43F7A"/>
    <w:rsid w:val="1BE9203B"/>
    <w:rsid w:val="1BEB1B30"/>
    <w:rsid w:val="1BEE1D82"/>
    <w:rsid w:val="1BEF65FF"/>
    <w:rsid w:val="1C00080C"/>
    <w:rsid w:val="1C0A51E7"/>
    <w:rsid w:val="1C0E2EFC"/>
    <w:rsid w:val="1C105CB0"/>
    <w:rsid w:val="1C1C4F1A"/>
    <w:rsid w:val="1C2C33AF"/>
    <w:rsid w:val="1C2F4C4D"/>
    <w:rsid w:val="1C4C6D85"/>
    <w:rsid w:val="1C4F3541"/>
    <w:rsid w:val="1C507248"/>
    <w:rsid w:val="1C556DAA"/>
    <w:rsid w:val="1C597795"/>
    <w:rsid w:val="1C662D65"/>
    <w:rsid w:val="1C6A3ED7"/>
    <w:rsid w:val="1C6D1001"/>
    <w:rsid w:val="1C6E6DD4"/>
    <w:rsid w:val="1C771249"/>
    <w:rsid w:val="1C775D0B"/>
    <w:rsid w:val="1C84143D"/>
    <w:rsid w:val="1C844F99"/>
    <w:rsid w:val="1C8C20A0"/>
    <w:rsid w:val="1CA922ED"/>
    <w:rsid w:val="1CB3762C"/>
    <w:rsid w:val="1CB533A4"/>
    <w:rsid w:val="1CC17F9B"/>
    <w:rsid w:val="1CC547B8"/>
    <w:rsid w:val="1CD221A8"/>
    <w:rsid w:val="1CD45858"/>
    <w:rsid w:val="1CE75528"/>
    <w:rsid w:val="1CF739BD"/>
    <w:rsid w:val="1CF85987"/>
    <w:rsid w:val="1D012A8E"/>
    <w:rsid w:val="1D0205B4"/>
    <w:rsid w:val="1D0B7468"/>
    <w:rsid w:val="1D0E51AB"/>
    <w:rsid w:val="1D17723F"/>
    <w:rsid w:val="1D181B85"/>
    <w:rsid w:val="1D1B37FC"/>
    <w:rsid w:val="1D2A2B43"/>
    <w:rsid w:val="1D2B20C3"/>
    <w:rsid w:val="1D2F25D2"/>
    <w:rsid w:val="1D303373"/>
    <w:rsid w:val="1D3249F5"/>
    <w:rsid w:val="1D343289"/>
    <w:rsid w:val="1D35719A"/>
    <w:rsid w:val="1D3C1D18"/>
    <w:rsid w:val="1D4209B0"/>
    <w:rsid w:val="1D5A7B25"/>
    <w:rsid w:val="1D6650F4"/>
    <w:rsid w:val="1D6923E1"/>
    <w:rsid w:val="1D69418F"/>
    <w:rsid w:val="1D74500E"/>
    <w:rsid w:val="1D750D86"/>
    <w:rsid w:val="1D813CEF"/>
    <w:rsid w:val="1D834DF5"/>
    <w:rsid w:val="1D8B05A9"/>
    <w:rsid w:val="1D8E3656"/>
    <w:rsid w:val="1D92266A"/>
    <w:rsid w:val="1D9236E6"/>
    <w:rsid w:val="1D930EBE"/>
    <w:rsid w:val="1D94745E"/>
    <w:rsid w:val="1D9E02DC"/>
    <w:rsid w:val="1DA82F09"/>
    <w:rsid w:val="1DAB47A7"/>
    <w:rsid w:val="1DB16262"/>
    <w:rsid w:val="1DB97EF4"/>
    <w:rsid w:val="1DC04480"/>
    <w:rsid w:val="1DC67833"/>
    <w:rsid w:val="1DC92C8E"/>
    <w:rsid w:val="1DD7013E"/>
    <w:rsid w:val="1E060B34"/>
    <w:rsid w:val="1E0F2F88"/>
    <w:rsid w:val="1E17793D"/>
    <w:rsid w:val="1E206F43"/>
    <w:rsid w:val="1E230D8A"/>
    <w:rsid w:val="1E2350A1"/>
    <w:rsid w:val="1E2F7187"/>
    <w:rsid w:val="1E304E82"/>
    <w:rsid w:val="1E334EC9"/>
    <w:rsid w:val="1E34479D"/>
    <w:rsid w:val="1E3D18A3"/>
    <w:rsid w:val="1E4075E6"/>
    <w:rsid w:val="1E48649A"/>
    <w:rsid w:val="1E4E3AB1"/>
    <w:rsid w:val="1E502468"/>
    <w:rsid w:val="1E592455"/>
    <w:rsid w:val="1E647FE5"/>
    <w:rsid w:val="1E6D0168"/>
    <w:rsid w:val="1E7372ED"/>
    <w:rsid w:val="1E803E86"/>
    <w:rsid w:val="1E804380"/>
    <w:rsid w:val="1E920F2E"/>
    <w:rsid w:val="1E9B6232"/>
    <w:rsid w:val="1EA2204E"/>
    <w:rsid w:val="1EB45650"/>
    <w:rsid w:val="1EC16057"/>
    <w:rsid w:val="1ED1594A"/>
    <w:rsid w:val="1EDE3EA9"/>
    <w:rsid w:val="1EE11887"/>
    <w:rsid w:val="1EE700E8"/>
    <w:rsid w:val="1EE927AE"/>
    <w:rsid w:val="1EEA12FF"/>
    <w:rsid w:val="1EF5217E"/>
    <w:rsid w:val="1F010B23"/>
    <w:rsid w:val="1F040613"/>
    <w:rsid w:val="1F072AB8"/>
    <w:rsid w:val="1F0A0E27"/>
    <w:rsid w:val="1F0D5669"/>
    <w:rsid w:val="1F0E6AAB"/>
    <w:rsid w:val="1F204D21"/>
    <w:rsid w:val="1F220A99"/>
    <w:rsid w:val="1F2760B0"/>
    <w:rsid w:val="1F2A3348"/>
    <w:rsid w:val="1F2C36C6"/>
    <w:rsid w:val="1F2D4ECE"/>
    <w:rsid w:val="1F3D3B25"/>
    <w:rsid w:val="1F3E11A8"/>
    <w:rsid w:val="1F3E3D51"/>
    <w:rsid w:val="1F4A3C9E"/>
    <w:rsid w:val="1F505606"/>
    <w:rsid w:val="1F5275D0"/>
    <w:rsid w:val="1F5E1BF2"/>
    <w:rsid w:val="1F66307C"/>
    <w:rsid w:val="1F69532E"/>
    <w:rsid w:val="1F6966C8"/>
    <w:rsid w:val="1F6C0849"/>
    <w:rsid w:val="1F6D1034"/>
    <w:rsid w:val="1F6E022C"/>
    <w:rsid w:val="1F6F0182"/>
    <w:rsid w:val="1F72335D"/>
    <w:rsid w:val="1F776CF1"/>
    <w:rsid w:val="1F8277B7"/>
    <w:rsid w:val="1F890B18"/>
    <w:rsid w:val="1F8A78EA"/>
    <w:rsid w:val="1F8D59FC"/>
    <w:rsid w:val="1F973269"/>
    <w:rsid w:val="1F9D5AEF"/>
    <w:rsid w:val="1F9E2816"/>
    <w:rsid w:val="1FB951A7"/>
    <w:rsid w:val="1FBA115E"/>
    <w:rsid w:val="1FBF453A"/>
    <w:rsid w:val="1FC80D2B"/>
    <w:rsid w:val="1FDC6E9A"/>
    <w:rsid w:val="1FDE144C"/>
    <w:rsid w:val="1FE16BA6"/>
    <w:rsid w:val="1FE20FC2"/>
    <w:rsid w:val="1FE65F6B"/>
    <w:rsid w:val="1FF22B62"/>
    <w:rsid w:val="1FFB2687"/>
    <w:rsid w:val="20014B53"/>
    <w:rsid w:val="20020FF7"/>
    <w:rsid w:val="2005292D"/>
    <w:rsid w:val="200B284C"/>
    <w:rsid w:val="2014250D"/>
    <w:rsid w:val="201E1EB0"/>
    <w:rsid w:val="201F028C"/>
    <w:rsid w:val="2020322B"/>
    <w:rsid w:val="2025476B"/>
    <w:rsid w:val="202645B9"/>
    <w:rsid w:val="20384A18"/>
    <w:rsid w:val="2039253E"/>
    <w:rsid w:val="203C5B8B"/>
    <w:rsid w:val="20401B1F"/>
    <w:rsid w:val="2040567B"/>
    <w:rsid w:val="20407429"/>
    <w:rsid w:val="204131A1"/>
    <w:rsid w:val="204809D3"/>
    <w:rsid w:val="204A64FA"/>
    <w:rsid w:val="205253AE"/>
    <w:rsid w:val="205729C5"/>
    <w:rsid w:val="206103D4"/>
    <w:rsid w:val="20731B70"/>
    <w:rsid w:val="20814267"/>
    <w:rsid w:val="20895274"/>
    <w:rsid w:val="208A4B48"/>
    <w:rsid w:val="20943C19"/>
    <w:rsid w:val="209B0B03"/>
    <w:rsid w:val="209D487B"/>
    <w:rsid w:val="20AC0F62"/>
    <w:rsid w:val="20BB11A5"/>
    <w:rsid w:val="20C36F4F"/>
    <w:rsid w:val="20C718F8"/>
    <w:rsid w:val="20CB6B01"/>
    <w:rsid w:val="20CC4345"/>
    <w:rsid w:val="20CC6F0F"/>
    <w:rsid w:val="20D9162C"/>
    <w:rsid w:val="20DD55C0"/>
    <w:rsid w:val="20E406FC"/>
    <w:rsid w:val="20E73D48"/>
    <w:rsid w:val="20EE157B"/>
    <w:rsid w:val="20F070A1"/>
    <w:rsid w:val="20F36B91"/>
    <w:rsid w:val="20FF789C"/>
    <w:rsid w:val="2105390D"/>
    <w:rsid w:val="21087407"/>
    <w:rsid w:val="210A2D48"/>
    <w:rsid w:val="210F504D"/>
    <w:rsid w:val="21116FB4"/>
    <w:rsid w:val="21130FE1"/>
    <w:rsid w:val="213D1BBA"/>
    <w:rsid w:val="213F3B84"/>
    <w:rsid w:val="2141170E"/>
    <w:rsid w:val="214D713A"/>
    <w:rsid w:val="21562C7C"/>
    <w:rsid w:val="215F7D83"/>
    <w:rsid w:val="216F2860"/>
    <w:rsid w:val="217557F8"/>
    <w:rsid w:val="21795C02"/>
    <w:rsid w:val="217B7008"/>
    <w:rsid w:val="217C26E3"/>
    <w:rsid w:val="2188552B"/>
    <w:rsid w:val="21893052"/>
    <w:rsid w:val="21917C92"/>
    <w:rsid w:val="219F63D1"/>
    <w:rsid w:val="21AB2FC8"/>
    <w:rsid w:val="21B00B94"/>
    <w:rsid w:val="21B843D9"/>
    <w:rsid w:val="21B87493"/>
    <w:rsid w:val="21D97B35"/>
    <w:rsid w:val="21E2059D"/>
    <w:rsid w:val="21E259B1"/>
    <w:rsid w:val="21E93856"/>
    <w:rsid w:val="21EC3F0C"/>
    <w:rsid w:val="220F79FB"/>
    <w:rsid w:val="22170BCA"/>
    <w:rsid w:val="221D369C"/>
    <w:rsid w:val="2221328A"/>
    <w:rsid w:val="22264BFB"/>
    <w:rsid w:val="22274D44"/>
    <w:rsid w:val="222D63CE"/>
    <w:rsid w:val="223034CD"/>
    <w:rsid w:val="22327245"/>
    <w:rsid w:val="2237485C"/>
    <w:rsid w:val="22392D88"/>
    <w:rsid w:val="223D53B5"/>
    <w:rsid w:val="223E5BEA"/>
    <w:rsid w:val="223E5F8E"/>
    <w:rsid w:val="2240276B"/>
    <w:rsid w:val="22405E06"/>
    <w:rsid w:val="22421B7E"/>
    <w:rsid w:val="22433200"/>
    <w:rsid w:val="224376A4"/>
    <w:rsid w:val="2245341D"/>
    <w:rsid w:val="224C47AB"/>
    <w:rsid w:val="224D407F"/>
    <w:rsid w:val="2254540E"/>
    <w:rsid w:val="225E4378"/>
    <w:rsid w:val="22695222"/>
    <w:rsid w:val="226F0F35"/>
    <w:rsid w:val="22716512"/>
    <w:rsid w:val="22761828"/>
    <w:rsid w:val="227635D6"/>
    <w:rsid w:val="22817F28"/>
    <w:rsid w:val="229C0B63"/>
    <w:rsid w:val="22AA730D"/>
    <w:rsid w:val="22C73E32"/>
    <w:rsid w:val="22D02E57"/>
    <w:rsid w:val="22D034D4"/>
    <w:rsid w:val="22D13520"/>
    <w:rsid w:val="22D75048"/>
    <w:rsid w:val="22DF077D"/>
    <w:rsid w:val="22E22A19"/>
    <w:rsid w:val="22E42429"/>
    <w:rsid w:val="22F4099F"/>
    <w:rsid w:val="22F83FEB"/>
    <w:rsid w:val="22FF7A6F"/>
    <w:rsid w:val="2301793A"/>
    <w:rsid w:val="23024E6A"/>
    <w:rsid w:val="230A01C2"/>
    <w:rsid w:val="230A1F70"/>
    <w:rsid w:val="23164DB9"/>
    <w:rsid w:val="231B244A"/>
    <w:rsid w:val="23201794"/>
    <w:rsid w:val="23203542"/>
    <w:rsid w:val="232079E6"/>
    <w:rsid w:val="23402527"/>
    <w:rsid w:val="23493CBF"/>
    <w:rsid w:val="2351103C"/>
    <w:rsid w:val="23517B9F"/>
    <w:rsid w:val="235A6A54"/>
    <w:rsid w:val="236E0751"/>
    <w:rsid w:val="23735D67"/>
    <w:rsid w:val="237F6ED9"/>
    <w:rsid w:val="23843AD1"/>
    <w:rsid w:val="238D507B"/>
    <w:rsid w:val="23922691"/>
    <w:rsid w:val="2393640A"/>
    <w:rsid w:val="23A22D26"/>
    <w:rsid w:val="23A85105"/>
    <w:rsid w:val="23A979DB"/>
    <w:rsid w:val="23B040EB"/>
    <w:rsid w:val="23B048C6"/>
    <w:rsid w:val="23B26890"/>
    <w:rsid w:val="23B46E30"/>
    <w:rsid w:val="23B95E70"/>
    <w:rsid w:val="23D34A58"/>
    <w:rsid w:val="23D42CAA"/>
    <w:rsid w:val="23D972EA"/>
    <w:rsid w:val="23E9602A"/>
    <w:rsid w:val="23ED316D"/>
    <w:rsid w:val="24053736"/>
    <w:rsid w:val="2406098A"/>
    <w:rsid w:val="24076C20"/>
    <w:rsid w:val="24240693"/>
    <w:rsid w:val="244B3622"/>
    <w:rsid w:val="2455546D"/>
    <w:rsid w:val="245C67FB"/>
    <w:rsid w:val="246833F2"/>
    <w:rsid w:val="246D18CE"/>
    <w:rsid w:val="247E3DD4"/>
    <w:rsid w:val="247E49C4"/>
    <w:rsid w:val="24833D88"/>
    <w:rsid w:val="249661B1"/>
    <w:rsid w:val="24976625"/>
    <w:rsid w:val="249917FE"/>
    <w:rsid w:val="2499215E"/>
    <w:rsid w:val="24A106B2"/>
    <w:rsid w:val="24AD7057"/>
    <w:rsid w:val="24B148C0"/>
    <w:rsid w:val="24BB79C6"/>
    <w:rsid w:val="24BC729A"/>
    <w:rsid w:val="24C34ACD"/>
    <w:rsid w:val="24D4160E"/>
    <w:rsid w:val="24D51E86"/>
    <w:rsid w:val="25020BB7"/>
    <w:rsid w:val="250D7AF6"/>
    <w:rsid w:val="251A293E"/>
    <w:rsid w:val="251A2FF7"/>
    <w:rsid w:val="251B2213"/>
    <w:rsid w:val="25237BD0"/>
    <w:rsid w:val="25287637"/>
    <w:rsid w:val="25341526"/>
    <w:rsid w:val="25441769"/>
    <w:rsid w:val="25473008"/>
    <w:rsid w:val="255319AC"/>
    <w:rsid w:val="255A71DF"/>
    <w:rsid w:val="256554E6"/>
    <w:rsid w:val="25665B84"/>
    <w:rsid w:val="25667D90"/>
    <w:rsid w:val="25777D91"/>
    <w:rsid w:val="257B1AA1"/>
    <w:rsid w:val="257C1A01"/>
    <w:rsid w:val="257C2ECB"/>
    <w:rsid w:val="257E6920"/>
    <w:rsid w:val="25873D4C"/>
    <w:rsid w:val="258906A8"/>
    <w:rsid w:val="25966453"/>
    <w:rsid w:val="259B01DF"/>
    <w:rsid w:val="25A0096A"/>
    <w:rsid w:val="25A16BBC"/>
    <w:rsid w:val="25A246E2"/>
    <w:rsid w:val="25A4045A"/>
    <w:rsid w:val="25A62424"/>
    <w:rsid w:val="25B74631"/>
    <w:rsid w:val="25B7747A"/>
    <w:rsid w:val="25C9278E"/>
    <w:rsid w:val="25C97EC1"/>
    <w:rsid w:val="25CD79B1"/>
    <w:rsid w:val="25D1142C"/>
    <w:rsid w:val="25EB42DB"/>
    <w:rsid w:val="25F52A64"/>
    <w:rsid w:val="25FA37FE"/>
    <w:rsid w:val="25FE7CE4"/>
    <w:rsid w:val="26153106"/>
    <w:rsid w:val="26177D1E"/>
    <w:rsid w:val="262521BF"/>
    <w:rsid w:val="26275CD3"/>
    <w:rsid w:val="262E1A87"/>
    <w:rsid w:val="26345C82"/>
    <w:rsid w:val="264B6B28"/>
    <w:rsid w:val="264C55FE"/>
    <w:rsid w:val="26551754"/>
    <w:rsid w:val="266100F9"/>
    <w:rsid w:val="2661634B"/>
    <w:rsid w:val="26624DF1"/>
    <w:rsid w:val="26695200"/>
    <w:rsid w:val="2674607E"/>
    <w:rsid w:val="26753BA5"/>
    <w:rsid w:val="267E5695"/>
    <w:rsid w:val="267F2DAE"/>
    <w:rsid w:val="2681079B"/>
    <w:rsid w:val="268C54BC"/>
    <w:rsid w:val="268D7140"/>
    <w:rsid w:val="269F25CB"/>
    <w:rsid w:val="26A06E73"/>
    <w:rsid w:val="26AA5F44"/>
    <w:rsid w:val="26B20955"/>
    <w:rsid w:val="26B91CE3"/>
    <w:rsid w:val="26B97F35"/>
    <w:rsid w:val="26BD52F6"/>
    <w:rsid w:val="26C40F73"/>
    <w:rsid w:val="26DC3C24"/>
    <w:rsid w:val="26E1123A"/>
    <w:rsid w:val="26E66850"/>
    <w:rsid w:val="26F471BF"/>
    <w:rsid w:val="26FD4E5A"/>
    <w:rsid w:val="270F224B"/>
    <w:rsid w:val="27127645"/>
    <w:rsid w:val="271C7063"/>
    <w:rsid w:val="27201D62"/>
    <w:rsid w:val="272C03B2"/>
    <w:rsid w:val="273233B0"/>
    <w:rsid w:val="27363DD8"/>
    <w:rsid w:val="27383550"/>
    <w:rsid w:val="273852FE"/>
    <w:rsid w:val="274A6DDF"/>
    <w:rsid w:val="27533EE6"/>
    <w:rsid w:val="27545EB0"/>
    <w:rsid w:val="27547C5E"/>
    <w:rsid w:val="275571BE"/>
    <w:rsid w:val="276A19E2"/>
    <w:rsid w:val="27702CEA"/>
    <w:rsid w:val="277125BE"/>
    <w:rsid w:val="27716A62"/>
    <w:rsid w:val="27723A43"/>
    <w:rsid w:val="277832DB"/>
    <w:rsid w:val="277E4995"/>
    <w:rsid w:val="278247CB"/>
    <w:rsid w:val="27874102"/>
    <w:rsid w:val="2787560A"/>
    <w:rsid w:val="278E4F1E"/>
    <w:rsid w:val="279544FE"/>
    <w:rsid w:val="27963AED"/>
    <w:rsid w:val="279E1E0C"/>
    <w:rsid w:val="279F537D"/>
    <w:rsid w:val="27A5378B"/>
    <w:rsid w:val="27A74232"/>
    <w:rsid w:val="27B30E28"/>
    <w:rsid w:val="27B5073C"/>
    <w:rsid w:val="27B60E83"/>
    <w:rsid w:val="27B84691"/>
    <w:rsid w:val="27CB43C4"/>
    <w:rsid w:val="27CB7F20"/>
    <w:rsid w:val="27D019DA"/>
    <w:rsid w:val="27D25CDB"/>
    <w:rsid w:val="27D56FF1"/>
    <w:rsid w:val="27DA341C"/>
    <w:rsid w:val="27DD5A69"/>
    <w:rsid w:val="27E72880"/>
    <w:rsid w:val="27E96680"/>
    <w:rsid w:val="27EC58B9"/>
    <w:rsid w:val="27F31225"/>
    <w:rsid w:val="27F356C9"/>
    <w:rsid w:val="27FD0718"/>
    <w:rsid w:val="281B5764"/>
    <w:rsid w:val="28271609"/>
    <w:rsid w:val="282A1E5A"/>
    <w:rsid w:val="28304227"/>
    <w:rsid w:val="283A66AB"/>
    <w:rsid w:val="2845420B"/>
    <w:rsid w:val="285C451B"/>
    <w:rsid w:val="285E004A"/>
    <w:rsid w:val="28630607"/>
    <w:rsid w:val="28652973"/>
    <w:rsid w:val="2873168C"/>
    <w:rsid w:val="287405B8"/>
    <w:rsid w:val="28746E9C"/>
    <w:rsid w:val="287637EC"/>
    <w:rsid w:val="28885E11"/>
    <w:rsid w:val="289B4046"/>
    <w:rsid w:val="28AB7D51"/>
    <w:rsid w:val="28B05368"/>
    <w:rsid w:val="28BC3086"/>
    <w:rsid w:val="28C32732"/>
    <w:rsid w:val="28C71752"/>
    <w:rsid w:val="28CA01D8"/>
    <w:rsid w:val="28D72180"/>
    <w:rsid w:val="28DE1ED5"/>
    <w:rsid w:val="28DE3C83"/>
    <w:rsid w:val="28E76FDC"/>
    <w:rsid w:val="28E819D7"/>
    <w:rsid w:val="28E868B0"/>
    <w:rsid w:val="2900009D"/>
    <w:rsid w:val="29051218"/>
    <w:rsid w:val="29053906"/>
    <w:rsid w:val="290A0F1C"/>
    <w:rsid w:val="290F48BF"/>
    <w:rsid w:val="29184F7A"/>
    <w:rsid w:val="291C47AB"/>
    <w:rsid w:val="29265AB4"/>
    <w:rsid w:val="292E4C0A"/>
    <w:rsid w:val="2930213C"/>
    <w:rsid w:val="29310257"/>
    <w:rsid w:val="293C63A1"/>
    <w:rsid w:val="29486D28"/>
    <w:rsid w:val="294957D0"/>
    <w:rsid w:val="2966304C"/>
    <w:rsid w:val="29671ECA"/>
    <w:rsid w:val="29751C5B"/>
    <w:rsid w:val="298C1931"/>
    <w:rsid w:val="29A41E41"/>
    <w:rsid w:val="29A80C19"/>
    <w:rsid w:val="29AF5108"/>
    <w:rsid w:val="29B04FEB"/>
    <w:rsid w:val="29CF4351"/>
    <w:rsid w:val="29DB4666"/>
    <w:rsid w:val="29DD29CA"/>
    <w:rsid w:val="29E43E92"/>
    <w:rsid w:val="29FF2103"/>
    <w:rsid w:val="29FF65A7"/>
    <w:rsid w:val="2A004862"/>
    <w:rsid w:val="2A293624"/>
    <w:rsid w:val="2A2B2EF8"/>
    <w:rsid w:val="2A2C11B6"/>
    <w:rsid w:val="2A3224D8"/>
    <w:rsid w:val="2A32520C"/>
    <w:rsid w:val="2A465F84"/>
    <w:rsid w:val="2A475858"/>
    <w:rsid w:val="2A4B12F3"/>
    <w:rsid w:val="2A4E27CF"/>
    <w:rsid w:val="2A50295E"/>
    <w:rsid w:val="2A53196C"/>
    <w:rsid w:val="2A554419"/>
    <w:rsid w:val="2A712360"/>
    <w:rsid w:val="2A73664D"/>
    <w:rsid w:val="2A781EB5"/>
    <w:rsid w:val="2A783C63"/>
    <w:rsid w:val="2A793912"/>
    <w:rsid w:val="2A832D34"/>
    <w:rsid w:val="2A854FE3"/>
    <w:rsid w:val="2A8B1BE9"/>
    <w:rsid w:val="2AA50EFC"/>
    <w:rsid w:val="2AAC251F"/>
    <w:rsid w:val="2ABA0440"/>
    <w:rsid w:val="2ACC32B2"/>
    <w:rsid w:val="2AD22139"/>
    <w:rsid w:val="2AD2452A"/>
    <w:rsid w:val="2AD74E2E"/>
    <w:rsid w:val="2AED28A3"/>
    <w:rsid w:val="2AF27EBA"/>
    <w:rsid w:val="2AF7727E"/>
    <w:rsid w:val="2AF92FF6"/>
    <w:rsid w:val="2B057BED"/>
    <w:rsid w:val="2B146082"/>
    <w:rsid w:val="2B1716CE"/>
    <w:rsid w:val="2B361B54"/>
    <w:rsid w:val="2B3E6C5B"/>
    <w:rsid w:val="2B42499D"/>
    <w:rsid w:val="2B490002"/>
    <w:rsid w:val="2B4A5600"/>
    <w:rsid w:val="2B4D0762"/>
    <w:rsid w:val="2B4F2C16"/>
    <w:rsid w:val="2B5D119B"/>
    <w:rsid w:val="2B626348"/>
    <w:rsid w:val="2B631F9F"/>
    <w:rsid w:val="2B634913"/>
    <w:rsid w:val="2B650071"/>
    <w:rsid w:val="2B65243A"/>
    <w:rsid w:val="2B753537"/>
    <w:rsid w:val="2B85488A"/>
    <w:rsid w:val="2B856638"/>
    <w:rsid w:val="2B8C1CEE"/>
    <w:rsid w:val="2B8D45D9"/>
    <w:rsid w:val="2B9845BD"/>
    <w:rsid w:val="2B9B22FF"/>
    <w:rsid w:val="2B9B5E5B"/>
    <w:rsid w:val="2BA2741D"/>
    <w:rsid w:val="2BB12FC1"/>
    <w:rsid w:val="2BB331A5"/>
    <w:rsid w:val="2BBD4024"/>
    <w:rsid w:val="2BBE7D9C"/>
    <w:rsid w:val="2BC37160"/>
    <w:rsid w:val="2BC43604"/>
    <w:rsid w:val="2BC53BED"/>
    <w:rsid w:val="2BCE7FDF"/>
    <w:rsid w:val="2BD5322D"/>
    <w:rsid w:val="2BD83EBF"/>
    <w:rsid w:val="2BD9744F"/>
    <w:rsid w:val="2BDA0F15"/>
    <w:rsid w:val="2BDB7C6F"/>
    <w:rsid w:val="2BE27F2E"/>
    <w:rsid w:val="2BE9306B"/>
    <w:rsid w:val="2BF17FBC"/>
    <w:rsid w:val="2BFF63EA"/>
    <w:rsid w:val="2C017200"/>
    <w:rsid w:val="2C06438E"/>
    <w:rsid w:val="2C0C1475"/>
    <w:rsid w:val="2C0E487F"/>
    <w:rsid w:val="2C1005F7"/>
    <w:rsid w:val="2C106849"/>
    <w:rsid w:val="2C210A56"/>
    <w:rsid w:val="2C217445"/>
    <w:rsid w:val="2C2220D9"/>
    <w:rsid w:val="2C2E0A7D"/>
    <w:rsid w:val="2C3E6D34"/>
    <w:rsid w:val="2C441F27"/>
    <w:rsid w:val="2C447950"/>
    <w:rsid w:val="2C4F0FB2"/>
    <w:rsid w:val="2C524B1A"/>
    <w:rsid w:val="2C5D6FCF"/>
    <w:rsid w:val="2C6B479E"/>
    <w:rsid w:val="2C752B50"/>
    <w:rsid w:val="2C7D1F5B"/>
    <w:rsid w:val="2C7F44E0"/>
    <w:rsid w:val="2C840D1C"/>
    <w:rsid w:val="2C8D6F68"/>
    <w:rsid w:val="2C924918"/>
    <w:rsid w:val="2CA1230C"/>
    <w:rsid w:val="2CA70830"/>
    <w:rsid w:val="2CAC2747"/>
    <w:rsid w:val="2CB371D5"/>
    <w:rsid w:val="2CB43679"/>
    <w:rsid w:val="2CBF5B79"/>
    <w:rsid w:val="2CC226ED"/>
    <w:rsid w:val="2CCD0296"/>
    <w:rsid w:val="2CCF3D47"/>
    <w:rsid w:val="2CD330C8"/>
    <w:rsid w:val="2CD47112"/>
    <w:rsid w:val="2CD86C3B"/>
    <w:rsid w:val="2CE33F5E"/>
    <w:rsid w:val="2CE35D0C"/>
    <w:rsid w:val="2CE418A2"/>
    <w:rsid w:val="2CF55A3F"/>
    <w:rsid w:val="2CF60E1E"/>
    <w:rsid w:val="2CF82900"/>
    <w:rsid w:val="2CFA3055"/>
    <w:rsid w:val="2CFC5020"/>
    <w:rsid w:val="2D0E392D"/>
    <w:rsid w:val="2D1B03F3"/>
    <w:rsid w:val="2D1C6606"/>
    <w:rsid w:val="2D2B0A4F"/>
    <w:rsid w:val="2D306A77"/>
    <w:rsid w:val="2D3622E0"/>
    <w:rsid w:val="2D393B7E"/>
    <w:rsid w:val="2D39592C"/>
    <w:rsid w:val="2D3E1194"/>
    <w:rsid w:val="2D4A0F17"/>
    <w:rsid w:val="2D4A4337"/>
    <w:rsid w:val="2D4D7629"/>
    <w:rsid w:val="2D5246FD"/>
    <w:rsid w:val="2D5564BE"/>
    <w:rsid w:val="2D5722AD"/>
    <w:rsid w:val="2D594220"/>
    <w:rsid w:val="2D621327"/>
    <w:rsid w:val="2D7746A6"/>
    <w:rsid w:val="2D834DF9"/>
    <w:rsid w:val="2D846CE2"/>
    <w:rsid w:val="2D870D8D"/>
    <w:rsid w:val="2D917516"/>
    <w:rsid w:val="2D9B65E7"/>
    <w:rsid w:val="2D9C5EBB"/>
    <w:rsid w:val="2D9F07CD"/>
    <w:rsid w:val="2DA84860"/>
    <w:rsid w:val="2DAA4A7C"/>
    <w:rsid w:val="2DAB055B"/>
    <w:rsid w:val="2DB15E0A"/>
    <w:rsid w:val="2DB4401C"/>
    <w:rsid w:val="2DB9562B"/>
    <w:rsid w:val="2DC637A5"/>
    <w:rsid w:val="2DCA6ECC"/>
    <w:rsid w:val="2DCF1999"/>
    <w:rsid w:val="2DD05A2C"/>
    <w:rsid w:val="2DD37B2E"/>
    <w:rsid w:val="2DD6761F"/>
    <w:rsid w:val="2DD92C6B"/>
    <w:rsid w:val="2DF73121"/>
    <w:rsid w:val="2DFB0E33"/>
    <w:rsid w:val="2DFF2790"/>
    <w:rsid w:val="2E0423DE"/>
    <w:rsid w:val="2E1168A9"/>
    <w:rsid w:val="2E13617D"/>
    <w:rsid w:val="2E1450C3"/>
    <w:rsid w:val="2E336CD7"/>
    <w:rsid w:val="2E382087"/>
    <w:rsid w:val="2E3B3926"/>
    <w:rsid w:val="2E3B7A78"/>
    <w:rsid w:val="2E3F2823"/>
    <w:rsid w:val="2E4611B1"/>
    <w:rsid w:val="2E494294"/>
    <w:rsid w:val="2E536E5D"/>
    <w:rsid w:val="2E5642BC"/>
    <w:rsid w:val="2E5A3DAC"/>
    <w:rsid w:val="2E5B7B24"/>
    <w:rsid w:val="2E6764C9"/>
    <w:rsid w:val="2E7D3F3E"/>
    <w:rsid w:val="2E921798"/>
    <w:rsid w:val="2E9372BE"/>
    <w:rsid w:val="2E954DE4"/>
    <w:rsid w:val="2E960B5C"/>
    <w:rsid w:val="2E976DAE"/>
    <w:rsid w:val="2E982B26"/>
    <w:rsid w:val="2E9A07EA"/>
    <w:rsid w:val="2E9A11BB"/>
    <w:rsid w:val="2E9B2E2D"/>
    <w:rsid w:val="2EA414CB"/>
    <w:rsid w:val="2EB85B97"/>
    <w:rsid w:val="2EBA6F40"/>
    <w:rsid w:val="2EBD42DD"/>
    <w:rsid w:val="2ECC18EF"/>
    <w:rsid w:val="2ECD3524"/>
    <w:rsid w:val="2ED77041"/>
    <w:rsid w:val="2ED778A0"/>
    <w:rsid w:val="2EDF59B2"/>
    <w:rsid w:val="2EE10029"/>
    <w:rsid w:val="2EE623EC"/>
    <w:rsid w:val="2EEE2746"/>
    <w:rsid w:val="2EFA10EB"/>
    <w:rsid w:val="2F0401BB"/>
    <w:rsid w:val="2F085627"/>
    <w:rsid w:val="2F0F12EC"/>
    <w:rsid w:val="2F11652C"/>
    <w:rsid w:val="2F127BBF"/>
    <w:rsid w:val="2F1A0311"/>
    <w:rsid w:val="2F25260C"/>
    <w:rsid w:val="2F37233F"/>
    <w:rsid w:val="2F391C13"/>
    <w:rsid w:val="2F3D5A2A"/>
    <w:rsid w:val="2F3F11F4"/>
    <w:rsid w:val="2F4B7E26"/>
    <w:rsid w:val="2F5D7FC7"/>
    <w:rsid w:val="2F603644"/>
    <w:rsid w:val="2F7E7F6E"/>
    <w:rsid w:val="2F8D01B1"/>
    <w:rsid w:val="2F972DDE"/>
    <w:rsid w:val="2F99381C"/>
    <w:rsid w:val="2FA35F32"/>
    <w:rsid w:val="2FA5418C"/>
    <w:rsid w:val="2FA63021"/>
    <w:rsid w:val="2FAA48BF"/>
    <w:rsid w:val="2FC07B82"/>
    <w:rsid w:val="2FC86050"/>
    <w:rsid w:val="2FCA31B3"/>
    <w:rsid w:val="2FD07A5E"/>
    <w:rsid w:val="2FD9019F"/>
    <w:rsid w:val="2FD951A4"/>
    <w:rsid w:val="2FF73B21"/>
    <w:rsid w:val="301601A6"/>
    <w:rsid w:val="301663F8"/>
    <w:rsid w:val="301A16BC"/>
    <w:rsid w:val="30234671"/>
    <w:rsid w:val="302503E9"/>
    <w:rsid w:val="303E14AB"/>
    <w:rsid w:val="30403475"/>
    <w:rsid w:val="304940D8"/>
    <w:rsid w:val="30542A7D"/>
    <w:rsid w:val="30601421"/>
    <w:rsid w:val="30696528"/>
    <w:rsid w:val="30780C48"/>
    <w:rsid w:val="30843362"/>
    <w:rsid w:val="30852FC3"/>
    <w:rsid w:val="308C0468"/>
    <w:rsid w:val="309A33A8"/>
    <w:rsid w:val="309F5EDD"/>
    <w:rsid w:val="30A209D3"/>
    <w:rsid w:val="30A626AA"/>
    <w:rsid w:val="30A85D65"/>
    <w:rsid w:val="30BE4964"/>
    <w:rsid w:val="30CB0F91"/>
    <w:rsid w:val="30CB23C7"/>
    <w:rsid w:val="30CE282F"/>
    <w:rsid w:val="30D12835"/>
    <w:rsid w:val="30DA5678"/>
    <w:rsid w:val="30E16A06"/>
    <w:rsid w:val="30F009F7"/>
    <w:rsid w:val="30F82426"/>
    <w:rsid w:val="30F93D50"/>
    <w:rsid w:val="30FD714B"/>
    <w:rsid w:val="310149B3"/>
    <w:rsid w:val="310C5C67"/>
    <w:rsid w:val="310D57EE"/>
    <w:rsid w:val="31104BF6"/>
    <w:rsid w:val="31181CFC"/>
    <w:rsid w:val="311968FF"/>
    <w:rsid w:val="31322DBE"/>
    <w:rsid w:val="31346A97"/>
    <w:rsid w:val="31370119"/>
    <w:rsid w:val="313D5BE2"/>
    <w:rsid w:val="313E5C07"/>
    <w:rsid w:val="31496359"/>
    <w:rsid w:val="314B20D2"/>
    <w:rsid w:val="31573FE0"/>
    <w:rsid w:val="316118F5"/>
    <w:rsid w:val="31653193"/>
    <w:rsid w:val="316532F9"/>
    <w:rsid w:val="316B0D0A"/>
    <w:rsid w:val="31797323"/>
    <w:rsid w:val="317F4625"/>
    <w:rsid w:val="31972830"/>
    <w:rsid w:val="31A71BA2"/>
    <w:rsid w:val="31B41A25"/>
    <w:rsid w:val="31C53C32"/>
    <w:rsid w:val="31E87D80"/>
    <w:rsid w:val="31F462C5"/>
    <w:rsid w:val="31F640E5"/>
    <w:rsid w:val="320B4ED3"/>
    <w:rsid w:val="321C6414"/>
    <w:rsid w:val="32292413"/>
    <w:rsid w:val="322A618B"/>
    <w:rsid w:val="322A7F39"/>
    <w:rsid w:val="322D1C97"/>
    <w:rsid w:val="3234700A"/>
    <w:rsid w:val="323B2E07"/>
    <w:rsid w:val="323E34A5"/>
    <w:rsid w:val="3244724D"/>
    <w:rsid w:val="32482B44"/>
    <w:rsid w:val="324C7EAF"/>
    <w:rsid w:val="32581D03"/>
    <w:rsid w:val="325B00F2"/>
    <w:rsid w:val="325E26AB"/>
    <w:rsid w:val="32670A19"/>
    <w:rsid w:val="326A6587"/>
    <w:rsid w:val="327318E0"/>
    <w:rsid w:val="3276723B"/>
    <w:rsid w:val="327B0795"/>
    <w:rsid w:val="3281224F"/>
    <w:rsid w:val="328C29A2"/>
    <w:rsid w:val="328E1769"/>
    <w:rsid w:val="32926FE4"/>
    <w:rsid w:val="32B67A1F"/>
    <w:rsid w:val="32BD2B5B"/>
    <w:rsid w:val="32BF64C5"/>
    <w:rsid w:val="32C63C90"/>
    <w:rsid w:val="32C739DA"/>
    <w:rsid w:val="32CC7242"/>
    <w:rsid w:val="32D16607"/>
    <w:rsid w:val="32D21D23"/>
    <w:rsid w:val="32D320C7"/>
    <w:rsid w:val="32E070FD"/>
    <w:rsid w:val="32E47AED"/>
    <w:rsid w:val="32E53E60"/>
    <w:rsid w:val="32F6606D"/>
    <w:rsid w:val="33093FF2"/>
    <w:rsid w:val="330B38C7"/>
    <w:rsid w:val="330B7D6A"/>
    <w:rsid w:val="33105381"/>
    <w:rsid w:val="33151D8D"/>
    <w:rsid w:val="33174961"/>
    <w:rsid w:val="331F22B0"/>
    <w:rsid w:val="3320484F"/>
    <w:rsid w:val="332E3A59"/>
    <w:rsid w:val="333B547D"/>
    <w:rsid w:val="334119DE"/>
    <w:rsid w:val="334212B2"/>
    <w:rsid w:val="33437504"/>
    <w:rsid w:val="33487D89"/>
    <w:rsid w:val="33622C66"/>
    <w:rsid w:val="33627CC8"/>
    <w:rsid w:val="33694A91"/>
    <w:rsid w:val="337771AE"/>
    <w:rsid w:val="337F1753"/>
    <w:rsid w:val="33890C8F"/>
    <w:rsid w:val="33931655"/>
    <w:rsid w:val="33950BA1"/>
    <w:rsid w:val="339A4D3E"/>
    <w:rsid w:val="339F632F"/>
    <w:rsid w:val="33A06705"/>
    <w:rsid w:val="33A27FEF"/>
    <w:rsid w:val="33A87367"/>
    <w:rsid w:val="33BE2786"/>
    <w:rsid w:val="33C06DA7"/>
    <w:rsid w:val="33CD58D2"/>
    <w:rsid w:val="33D559F4"/>
    <w:rsid w:val="33E505BB"/>
    <w:rsid w:val="33EF31E8"/>
    <w:rsid w:val="33F515ED"/>
    <w:rsid w:val="33F86541"/>
    <w:rsid w:val="33FF0C39"/>
    <w:rsid w:val="34086058"/>
    <w:rsid w:val="34166584"/>
    <w:rsid w:val="341B1CD8"/>
    <w:rsid w:val="341D4F27"/>
    <w:rsid w:val="342B23A0"/>
    <w:rsid w:val="343230D5"/>
    <w:rsid w:val="3439105E"/>
    <w:rsid w:val="343B2764"/>
    <w:rsid w:val="343B642D"/>
    <w:rsid w:val="343C392E"/>
    <w:rsid w:val="343E5F1E"/>
    <w:rsid w:val="34401C96"/>
    <w:rsid w:val="344572AC"/>
    <w:rsid w:val="344A717E"/>
    <w:rsid w:val="344D6161"/>
    <w:rsid w:val="34654DA1"/>
    <w:rsid w:val="346911EC"/>
    <w:rsid w:val="346C1B47"/>
    <w:rsid w:val="34727975"/>
    <w:rsid w:val="348A1163"/>
    <w:rsid w:val="34931DC5"/>
    <w:rsid w:val="34946F44"/>
    <w:rsid w:val="349F73A0"/>
    <w:rsid w:val="34A26001"/>
    <w:rsid w:val="34B67BFF"/>
    <w:rsid w:val="34B87A7E"/>
    <w:rsid w:val="34BA1016"/>
    <w:rsid w:val="34C06223"/>
    <w:rsid w:val="34CA77B1"/>
    <w:rsid w:val="34CC58D3"/>
    <w:rsid w:val="34D83C7C"/>
    <w:rsid w:val="34D87C66"/>
    <w:rsid w:val="34E40873"/>
    <w:rsid w:val="34F605A6"/>
    <w:rsid w:val="34FA0097"/>
    <w:rsid w:val="35021CC3"/>
    <w:rsid w:val="350A5EAA"/>
    <w:rsid w:val="35156C7E"/>
    <w:rsid w:val="351849C1"/>
    <w:rsid w:val="351A7F80"/>
    <w:rsid w:val="35236EC3"/>
    <w:rsid w:val="352670DE"/>
    <w:rsid w:val="352A03AC"/>
    <w:rsid w:val="35335357"/>
    <w:rsid w:val="35396891"/>
    <w:rsid w:val="35470E02"/>
    <w:rsid w:val="35477343"/>
    <w:rsid w:val="35505E24"/>
    <w:rsid w:val="356814A4"/>
    <w:rsid w:val="356E638F"/>
    <w:rsid w:val="357F234A"/>
    <w:rsid w:val="35831E3A"/>
    <w:rsid w:val="358362DE"/>
    <w:rsid w:val="35935DF5"/>
    <w:rsid w:val="35944B18"/>
    <w:rsid w:val="359978AF"/>
    <w:rsid w:val="359C73A0"/>
    <w:rsid w:val="359D0A22"/>
    <w:rsid w:val="35AD5109"/>
    <w:rsid w:val="35B2271F"/>
    <w:rsid w:val="35B244CD"/>
    <w:rsid w:val="35B5453E"/>
    <w:rsid w:val="35BC534C"/>
    <w:rsid w:val="35BD34C3"/>
    <w:rsid w:val="35C81F43"/>
    <w:rsid w:val="35D15C4B"/>
    <w:rsid w:val="35D37B7A"/>
    <w:rsid w:val="35D42696"/>
    <w:rsid w:val="35D95EFE"/>
    <w:rsid w:val="35DF4ECF"/>
    <w:rsid w:val="35E92218"/>
    <w:rsid w:val="36054F45"/>
    <w:rsid w:val="360D204B"/>
    <w:rsid w:val="36160F00"/>
    <w:rsid w:val="361707D4"/>
    <w:rsid w:val="36257395"/>
    <w:rsid w:val="36260A17"/>
    <w:rsid w:val="36264B9A"/>
    <w:rsid w:val="3629103E"/>
    <w:rsid w:val="363836A5"/>
    <w:rsid w:val="363F46D0"/>
    <w:rsid w:val="3641163C"/>
    <w:rsid w:val="36483084"/>
    <w:rsid w:val="364E68AA"/>
    <w:rsid w:val="365D08DD"/>
    <w:rsid w:val="36646965"/>
    <w:rsid w:val="36712C62"/>
    <w:rsid w:val="36766CD1"/>
    <w:rsid w:val="367808C5"/>
    <w:rsid w:val="367E2601"/>
    <w:rsid w:val="368C3C68"/>
    <w:rsid w:val="369E4A52"/>
    <w:rsid w:val="36A401AF"/>
    <w:rsid w:val="36A51A3D"/>
    <w:rsid w:val="36B46D17"/>
    <w:rsid w:val="36BB1AA7"/>
    <w:rsid w:val="36C26992"/>
    <w:rsid w:val="36C3270A"/>
    <w:rsid w:val="36C721FA"/>
    <w:rsid w:val="36D2557D"/>
    <w:rsid w:val="36D93CDC"/>
    <w:rsid w:val="36E0506A"/>
    <w:rsid w:val="36E35777"/>
    <w:rsid w:val="36F61E48"/>
    <w:rsid w:val="36FF3742"/>
    <w:rsid w:val="370276D6"/>
    <w:rsid w:val="37040D59"/>
    <w:rsid w:val="37070849"/>
    <w:rsid w:val="37094DCC"/>
    <w:rsid w:val="370960D3"/>
    <w:rsid w:val="370F76FD"/>
    <w:rsid w:val="37117919"/>
    <w:rsid w:val="37184804"/>
    <w:rsid w:val="371F2036"/>
    <w:rsid w:val="37250607"/>
    <w:rsid w:val="372623BF"/>
    <w:rsid w:val="37272C99"/>
    <w:rsid w:val="37363899"/>
    <w:rsid w:val="373D426B"/>
    <w:rsid w:val="37487512"/>
    <w:rsid w:val="374F3F98"/>
    <w:rsid w:val="37517D16"/>
    <w:rsid w:val="37593924"/>
    <w:rsid w:val="3768578B"/>
    <w:rsid w:val="376B702A"/>
    <w:rsid w:val="377203B8"/>
    <w:rsid w:val="37751C56"/>
    <w:rsid w:val="378123A9"/>
    <w:rsid w:val="378C6358"/>
    <w:rsid w:val="378D6C08"/>
    <w:rsid w:val="378E0F6A"/>
    <w:rsid w:val="37A4253C"/>
    <w:rsid w:val="37AE2D27"/>
    <w:rsid w:val="37B02C8E"/>
    <w:rsid w:val="37B207B5"/>
    <w:rsid w:val="37B50C88"/>
    <w:rsid w:val="37C8447C"/>
    <w:rsid w:val="37CA6667"/>
    <w:rsid w:val="37DA5F5D"/>
    <w:rsid w:val="37DB3077"/>
    <w:rsid w:val="37E34E12"/>
    <w:rsid w:val="38073D08"/>
    <w:rsid w:val="38077644"/>
    <w:rsid w:val="380C25CC"/>
    <w:rsid w:val="38140EC9"/>
    <w:rsid w:val="38176A87"/>
    <w:rsid w:val="382673F4"/>
    <w:rsid w:val="3827387D"/>
    <w:rsid w:val="382A0C93"/>
    <w:rsid w:val="38353194"/>
    <w:rsid w:val="383733B0"/>
    <w:rsid w:val="383E473E"/>
    <w:rsid w:val="384C6E5B"/>
    <w:rsid w:val="384D2BD3"/>
    <w:rsid w:val="385029CC"/>
    <w:rsid w:val="38621C25"/>
    <w:rsid w:val="38651CCB"/>
    <w:rsid w:val="388823B1"/>
    <w:rsid w:val="38A327F3"/>
    <w:rsid w:val="38A5656B"/>
    <w:rsid w:val="38BA4F77"/>
    <w:rsid w:val="38BF587F"/>
    <w:rsid w:val="38C2711D"/>
    <w:rsid w:val="38C3633C"/>
    <w:rsid w:val="38D34E86"/>
    <w:rsid w:val="38DE2AE8"/>
    <w:rsid w:val="38EA21D0"/>
    <w:rsid w:val="38F7519E"/>
    <w:rsid w:val="390E2362"/>
    <w:rsid w:val="39195A0F"/>
    <w:rsid w:val="3920746F"/>
    <w:rsid w:val="3924679B"/>
    <w:rsid w:val="392A6A70"/>
    <w:rsid w:val="3938118D"/>
    <w:rsid w:val="394713D0"/>
    <w:rsid w:val="39507B92"/>
    <w:rsid w:val="39677CC5"/>
    <w:rsid w:val="396F26D5"/>
    <w:rsid w:val="39700927"/>
    <w:rsid w:val="397A3554"/>
    <w:rsid w:val="39804B00"/>
    <w:rsid w:val="39846181"/>
    <w:rsid w:val="398807EC"/>
    <w:rsid w:val="39900FC9"/>
    <w:rsid w:val="39906589"/>
    <w:rsid w:val="39972358"/>
    <w:rsid w:val="399A59A4"/>
    <w:rsid w:val="39B03F80"/>
    <w:rsid w:val="39B051C8"/>
    <w:rsid w:val="39B5682A"/>
    <w:rsid w:val="39C173D5"/>
    <w:rsid w:val="39C3314D"/>
    <w:rsid w:val="39C57900"/>
    <w:rsid w:val="39D37DA6"/>
    <w:rsid w:val="39D71FAB"/>
    <w:rsid w:val="39D974F5"/>
    <w:rsid w:val="39DF5AAD"/>
    <w:rsid w:val="39E07108"/>
    <w:rsid w:val="39F2339E"/>
    <w:rsid w:val="3A064320"/>
    <w:rsid w:val="3A125E82"/>
    <w:rsid w:val="3A1A3284"/>
    <w:rsid w:val="3A325BDD"/>
    <w:rsid w:val="3A39340F"/>
    <w:rsid w:val="3A397F0A"/>
    <w:rsid w:val="3A3E6C77"/>
    <w:rsid w:val="3A3F654C"/>
    <w:rsid w:val="3A575643"/>
    <w:rsid w:val="3A5E2E76"/>
    <w:rsid w:val="3A6164C2"/>
    <w:rsid w:val="3A742699"/>
    <w:rsid w:val="3A744447"/>
    <w:rsid w:val="3A7461F5"/>
    <w:rsid w:val="3A751F6D"/>
    <w:rsid w:val="3A7662B1"/>
    <w:rsid w:val="3A9E14C4"/>
    <w:rsid w:val="3AAF722D"/>
    <w:rsid w:val="3AB42A96"/>
    <w:rsid w:val="3AB62319"/>
    <w:rsid w:val="3AC07F7F"/>
    <w:rsid w:val="3AC26018"/>
    <w:rsid w:val="3AC6750B"/>
    <w:rsid w:val="3AC727C9"/>
    <w:rsid w:val="3AC95E1B"/>
    <w:rsid w:val="3ACC0297"/>
    <w:rsid w:val="3ACC7DDF"/>
    <w:rsid w:val="3ACD3B57"/>
    <w:rsid w:val="3ADB2718"/>
    <w:rsid w:val="3AE35129"/>
    <w:rsid w:val="3AEA295B"/>
    <w:rsid w:val="3B003F2D"/>
    <w:rsid w:val="3B007A89"/>
    <w:rsid w:val="3B085BCD"/>
    <w:rsid w:val="3B1216C8"/>
    <w:rsid w:val="3B141786"/>
    <w:rsid w:val="3B225C51"/>
    <w:rsid w:val="3B4F0A5F"/>
    <w:rsid w:val="3B563B4D"/>
    <w:rsid w:val="3B675D5A"/>
    <w:rsid w:val="3B6E0E96"/>
    <w:rsid w:val="3B6F124B"/>
    <w:rsid w:val="3B703AEA"/>
    <w:rsid w:val="3B716BD9"/>
    <w:rsid w:val="3B787F67"/>
    <w:rsid w:val="3B8E32E7"/>
    <w:rsid w:val="3B9603ED"/>
    <w:rsid w:val="3B974C25"/>
    <w:rsid w:val="3B9823B7"/>
    <w:rsid w:val="3BA26D92"/>
    <w:rsid w:val="3BB05953"/>
    <w:rsid w:val="3BBB7E54"/>
    <w:rsid w:val="3BC14652"/>
    <w:rsid w:val="3BCB6653"/>
    <w:rsid w:val="3BCE7324"/>
    <w:rsid w:val="3BD57167"/>
    <w:rsid w:val="3BDA477E"/>
    <w:rsid w:val="3BE755FD"/>
    <w:rsid w:val="3BF05D4F"/>
    <w:rsid w:val="3BF55114"/>
    <w:rsid w:val="3C005D93"/>
    <w:rsid w:val="3C025A83"/>
    <w:rsid w:val="3C0C0703"/>
    <w:rsid w:val="3C0C1DBD"/>
    <w:rsid w:val="3C0E61D6"/>
    <w:rsid w:val="3C237F75"/>
    <w:rsid w:val="3C2704CB"/>
    <w:rsid w:val="3C2854E9"/>
    <w:rsid w:val="3C2F6F31"/>
    <w:rsid w:val="3C2F775B"/>
    <w:rsid w:val="3C406CD7"/>
    <w:rsid w:val="3C430575"/>
    <w:rsid w:val="3C4B11D8"/>
    <w:rsid w:val="3C5033D1"/>
    <w:rsid w:val="3C5067EE"/>
    <w:rsid w:val="3C60501B"/>
    <w:rsid w:val="3C6109FB"/>
    <w:rsid w:val="3C733C5C"/>
    <w:rsid w:val="3C826F4F"/>
    <w:rsid w:val="3C8C189E"/>
    <w:rsid w:val="3CA52FDE"/>
    <w:rsid w:val="3CA60B04"/>
    <w:rsid w:val="3CAE68E3"/>
    <w:rsid w:val="3CBE7BFC"/>
    <w:rsid w:val="3CCB1FEA"/>
    <w:rsid w:val="3CDF7E24"/>
    <w:rsid w:val="3CE21B3C"/>
    <w:rsid w:val="3CFD6976"/>
    <w:rsid w:val="3D0D6BF3"/>
    <w:rsid w:val="3D0E0FD3"/>
    <w:rsid w:val="3D0F0295"/>
    <w:rsid w:val="3D1F77C7"/>
    <w:rsid w:val="3D2137DB"/>
    <w:rsid w:val="3D2E4D81"/>
    <w:rsid w:val="3D332398"/>
    <w:rsid w:val="3D406F54"/>
    <w:rsid w:val="3D453E79"/>
    <w:rsid w:val="3D4E2517"/>
    <w:rsid w:val="3D4E5423"/>
    <w:rsid w:val="3D65451B"/>
    <w:rsid w:val="3D7042CA"/>
    <w:rsid w:val="3D7824A0"/>
    <w:rsid w:val="3D8A5D30"/>
    <w:rsid w:val="3D9A3B9C"/>
    <w:rsid w:val="3DA7411A"/>
    <w:rsid w:val="3DAC4DD4"/>
    <w:rsid w:val="3DAE3DAF"/>
    <w:rsid w:val="3DB039E8"/>
    <w:rsid w:val="3DBB765C"/>
    <w:rsid w:val="3DCE7AEF"/>
    <w:rsid w:val="3DD5344F"/>
    <w:rsid w:val="3DDD0555"/>
    <w:rsid w:val="3DEC663B"/>
    <w:rsid w:val="3DEE4511"/>
    <w:rsid w:val="3DEF0AA5"/>
    <w:rsid w:val="3DFF7ABA"/>
    <w:rsid w:val="3E0755D2"/>
    <w:rsid w:val="3E0C2BE9"/>
    <w:rsid w:val="3E2972F7"/>
    <w:rsid w:val="3E2A2D45"/>
    <w:rsid w:val="3E2B12C1"/>
    <w:rsid w:val="3E2C4833"/>
    <w:rsid w:val="3E2E3131"/>
    <w:rsid w:val="3E3143FD"/>
    <w:rsid w:val="3E3159D4"/>
    <w:rsid w:val="3E3363B2"/>
    <w:rsid w:val="3E35217A"/>
    <w:rsid w:val="3E391C30"/>
    <w:rsid w:val="3E476628"/>
    <w:rsid w:val="3E5028E6"/>
    <w:rsid w:val="3E52684D"/>
    <w:rsid w:val="3E55633E"/>
    <w:rsid w:val="3E5C147A"/>
    <w:rsid w:val="3E835507"/>
    <w:rsid w:val="3E920F1D"/>
    <w:rsid w:val="3E927592"/>
    <w:rsid w:val="3E930198"/>
    <w:rsid w:val="3E974BA8"/>
    <w:rsid w:val="3E9A6446"/>
    <w:rsid w:val="3E9E5F37"/>
    <w:rsid w:val="3EA176E9"/>
    <w:rsid w:val="3EA90437"/>
    <w:rsid w:val="3EAD7F28"/>
    <w:rsid w:val="3EB261E6"/>
    <w:rsid w:val="3EC3693C"/>
    <w:rsid w:val="3ECE52FE"/>
    <w:rsid w:val="3ED01E68"/>
    <w:rsid w:val="3ED03C16"/>
    <w:rsid w:val="3ED30AE1"/>
    <w:rsid w:val="3ED92ACB"/>
    <w:rsid w:val="3EDC5322"/>
    <w:rsid w:val="3EE651E8"/>
    <w:rsid w:val="3EE77FD2"/>
    <w:rsid w:val="3EF43DA9"/>
    <w:rsid w:val="3F010273"/>
    <w:rsid w:val="3F087854"/>
    <w:rsid w:val="3F23643C"/>
    <w:rsid w:val="3F2E104E"/>
    <w:rsid w:val="3F3107F4"/>
    <w:rsid w:val="3F36616F"/>
    <w:rsid w:val="3F367F1D"/>
    <w:rsid w:val="3F464D1B"/>
    <w:rsid w:val="3F487C50"/>
    <w:rsid w:val="3F4D5267"/>
    <w:rsid w:val="3F5E56C6"/>
    <w:rsid w:val="3F6E5909"/>
    <w:rsid w:val="3F7A5C60"/>
    <w:rsid w:val="3F834BAA"/>
    <w:rsid w:val="3F870779"/>
    <w:rsid w:val="3F874201"/>
    <w:rsid w:val="3F8A0269"/>
    <w:rsid w:val="3F9609BC"/>
    <w:rsid w:val="3F980BD8"/>
    <w:rsid w:val="3FA71DD1"/>
    <w:rsid w:val="3FAB4824"/>
    <w:rsid w:val="3FB44627"/>
    <w:rsid w:val="3FB86B84"/>
    <w:rsid w:val="3FBB48C6"/>
    <w:rsid w:val="3FCE63A8"/>
    <w:rsid w:val="3FD35E75"/>
    <w:rsid w:val="3FD939D5"/>
    <w:rsid w:val="3FE21E53"/>
    <w:rsid w:val="3FE94F8F"/>
    <w:rsid w:val="3FF16BF7"/>
    <w:rsid w:val="3FF36FC7"/>
    <w:rsid w:val="3FF37BBC"/>
    <w:rsid w:val="3FF862B7"/>
    <w:rsid w:val="40055049"/>
    <w:rsid w:val="401D6949"/>
    <w:rsid w:val="401E75E0"/>
    <w:rsid w:val="40204557"/>
    <w:rsid w:val="4023078B"/>
    <w:rsid w:val="402E6E46"/>
    <w:rsid w:val="40326178"/>
    <w:rsid w:val="403D1D05"/>
    <w:rsid w:val="403D3C79"/>
    <w:rsid w:val="40425813"/>
    <w:rsid w:val="404623E2"/>
    <w:rsid w:val="40464190"/>
    <w:rsid w:val="4065652B"/>
    <w:rsid w:val="406805AA"/>
    <w:rsid w:val="406F0541"/>
    <w:rsid w:val="407C5E04"/>
    <w:rsid w:val="407E1FE2"/>
    <w:rsid w:val="407F62B2"/>
    <w:rsid w:val="40956EC5"/>
    <w:rsid w:val="40980764"/>
    <w:rsid w:val="40984B3D"/>
    <w:rsid w:val="409C64A6"/>
    <w:rsid w:val="40AB6205"/>
    <w:rsid w:val="40AB66E9"/>
    <w:rsid w:val="40BC26A4"/>
    <w:rsid w:val="40BC4452"/>
    <w:rsid w:val="40BD4167"/>
    <w:rsid w:val="40C559FD"/>
    <w:rsid w:val="40C55EEB"/>
    <w:rsid w:val="40C63523"/>
    <w:rsid w:val="40D04494"/>
    <w:rsid w:val="40D205B8"/>
    <w:rsid w:val="40D524C1"/>
    <w:rsid w:val="40DC4023"/>
    <w:rsid w:val="40E35E83"/>
    <w:rsid w:val="40E51BFB"/>
    <w:rsid w:val="40E533C9"/>
    <w:rsid w:val="40F0545C"/>
    <w:rsid w:val="40F77B80"/>
    <w:rsid w:val="40F956A6"/>
    <w:rsid w:val="40FE2CBD"/>
    <w:rsid w:val="41012A9F"/>
    <w:rsid w:val="41111AE2"/>
    <w:rsid w:val="412344D1"/>
    <w:rsid w:val="412E6F18"/>
    <w:rsid w:val="412F0C94"/>
    <w:rsid w:val="412F10C8"/>
    <w:rsid w:val="41393CF5"/>
    <w:rsid w:val="41566655"/>
    <w:rsid w:val="415D3E87"/>
    <w:rsid w:val="41663217"/>
    <w:rsid w:val="416B7C74"/>
    <w:rsid w:val="416D399E"/>
    <w:rsid w:val="41717932"/>
    <w:rsid w:val="41720FB5"/>
    <w:rsid w:val="41735459"/>
    <w:rsid w:val="41764F49"/>
    <w:rsid w:val="41777F7C"/>
    <w:rsid w:val="41815C7E"/>
    <w:rsid w:val="418B3F42"/>
    <w:rsid w:val="41AC44C7"/>
    <w:rsid w:val="41C44D4F"/>
    <w:rsid w:val="41C51A2C"/>
    <w:rsid w:val="41C53E6B"/>
    <w:rsid w:val="41CE6B33"/>
    <w:rsid w:val="41D67795"/>
    <w:rsid w:val="41D74E79"/>
    <w:rsid w:val="41DB2FFE"/>
    <w:rsid w:val="41DD6D76"/>
    <w:rsid w:val="41EB15AC"/>
    <w:rsid w:val="41FB71FC"/>
    <w:rsid w:val="42062425"/>
    <w:rsid w:val="42085391"/>
    <w:rsid w:val="421B33FA"/>
    <w:rsid w:val="421D7172"/>
    <w:rsid w:val="42265B3F"/>
    <w:rsid w:val="42276243"/>
    <w:rsid w:val="42290E73"/>
    <w:rsid w:val="422C3859"/>
    <w:rsid w:val="42370B6B"/>
    <w:rsid w:val="423B584A"/>
    <w:rsid w:val="424B1F31"/>
    <w:rsid w:val="424E1A22"/>
    <w:rsid w:val="426F4D10"/>
    <w:rsid w:val="427A45C5"/>
    <w:rsid w:val="42980EEF"/>
    <w:rsid w:val="429A4C67"/>
    <w:rsid w:val="429C43CC"/>
    <w:rsid w:val="429F7022"/>
    <w:rsid w:val="42A7483C"/>
    <w:rsid w:val="42B07B29"/>
    <w:rsid w:val="42B51AA1"/>
    <w:rsid w:val="42BE0955"/>
    <w:rsid w:val="42C615B8"/>
    <w:rsid w:val="42C6780A"/>
    <w:rsid w:val="42D261AF"/>
    <w:rsid w:val="42D33CD5"/>
    <w:rsid w:val="42DE2DA6"/>
    <w:rsid w:val="42E14644"/>
    <w:rsid w:val="42E77EC1"/>
    <w:rsid w:val="42F425C9"/>
    <w:rsid w:val="42F618F3"/>
    <w:rsid w:val="43095949"/>
    <w:rsid w:val="43120CA1"/>
    <w:rsid w:val="431D41F3"/>
    <w:rsid w:val="431E31A2"/>
    <w:rsid w:val="431F377C"/>
    <w:rsid w:val="4320516C"/>
    <w:rsid w:val="43210EE4"/>
    <w:rsid w:val="4325653F"/>
    <w:rsid w:val="433F136A"/>
    <w:rsid w:val="435071E1"/>
    <w:rsid w:val="43533F22"/>
    <w:rsid w:val="43551A5C"/>
    <w:rsid w:val="435C75A2"/>
    <w:rsid w:val="435F622A"/>
    <w:rsid w:val="43617533"/>
    <w:rsid w:val="43635E9A"/>
    <w:rsid w:val="43650DD1"/>
    <w:rsid w:val="436825BD"/>
    <w:rsid w:val="436D5ED7"/>
    <w:rsid w:val="43851473"/>
    <w:rsid w:val="438C45B0"/>
    <w:rsid w:val="43911BC6"/>
    <w:rsid w:val="439A3786"/>
    <w:rsid w:val="43A01E09"/>
    <w:rsid w:val="43A51B15"/>
    <w:rsid w:val="43B104BA"/>
    <w:rsid w:val="43B27D8E"/>
    <w:rsid w:val="43B65AD0"/>
    <w:rsid w:val="43BB0E5F"/>
    <w:rsid w:val="43C81360"/>
    <w:rsid w:val="43D63A7D"/>
    <w:rsid w:val="43D822B8"/>
    <w:rsid w:val="43E066A9"/>
    <w:rsid w:val="43E95AA6"/>
    <w:rsid w:val="43EF0FE2"/>
    <w:rsid w:val="43EF4B3E"/>
    <w:rsid w:val="43F9776B"/>
    <w:rsid w:val="43FD725B"/>
    <w:rsid w:val="43FF1225"/>
    <w:rsid w:val="44103433"/>
    <w:rsid w:val="44246EDE"/>
    <w:rsid w:val="4429404A"/>
    <w:rsid w:val="442F13DF"/>
    <w:rsid w:val="44330ECF"/>
    <w:rsid w:val="44357ADA"/>
    <w:rsid w:val="44415ED3"/>
    <w:rsid w:val="444A6219"/>
    <w:rsid w:val="444B446B"/>
    <w:rsid w:val="444D566C"/>
    <w:rsid w:val="445A2900"/>
    <w:rsid w:val="445A4556"/>
    <w:rsid w:val="445F3A72"/>
    <w:rsid w:val="44663053"/>
    <w:rsid w:val="44775DE2"/>
    <w:rsid w:val="447E034F"/>
    <w:rsid w:val="44826ED1"/>
    <w:rsid w:val="4484172B"/>
    <w:rsid w:val="448A6B93"/>
    <w:rsid w:val="448B0D0B"/>
    <w:rsid w:val="44906321"/>
    <w:rsid w:val="44935725"/>
    <w:rsid w:val="44A51334"/>
    <w:rsid w:val="44AD0962"/>
    <w:rsid w:val="44BF6C07"/>
    <w:rsid w:val="44C87A80"/>
    <w:rsid w:val="44CA7ED2"/>
    <w:rsid w:val="44CB1108"/>
    <w:rsid w:val="44CE6E4A"/>
    <w:rsid w:val="44D426B2"/>
    <w:rsid w:val="44F27D14"/>
    <w:rsid w:val="44F87A0C"/>
    <w:rsid w:val="44F942FB"/>
    <w:rsid w:val="44FC343A"/>
    <w:rsid w:val="45097749"/>
    <w:rsid w:val="4510185F"/>
    <w:rsid w:val="45116DE3"/>
    <w:rsid w:val="4530540F"/>
    <w:rsid w:val="45525385"/>
    <w:rsid w:val="45596713"/>
    <w:rsid w:val="455F1251"/>
    <w:rsid w:val="45633A36"/>
    <w:rsid w:val="456F23DB"/>
    <w:rsid w:val="457572C5"/>
    <w:rsid w:val="457C2402"/>
    <w:rsid w:val="458B0760"/>
    <w:rsid w:val="458B0897"/>
    <w:rsid w:val="45A8769B"/>
    <w:rsid w:val="45B147A1"/>
    <w:rsid w:val="45B2188B"/>
    <w:rsid w:val="45B46040"/>
    <w:rsid w:val="45B55914"/>
    <w:rsid w:val="45B872F1"/>
    <w:rsid w:val="45BE2A1A"/>
    <w:rsid w:val="45C02C36"/>
    <w:rsid w:val="45D93CF8"/>
    <w:rsid w:val="45DB3DCA"/>
    <w:rsid w:val="45E101DD"/>
    <w:rsid w:val="45E95204"/>
    <w:rsid w:val="460577BA"/>
    <w:rsid w:val="460E4F41"/>
    <w:rsid w:val="461413F5"/>
    <w:rsid w:val="4616725F"/>
    <w:rsid w:val="461A028E"/>
    <w:rsid w:val="461E795D"/>
    <w:rsid w:val="46201E20"/>
    <w:rsid w:val="46242D82"/>
    <w:rsid w:val="462A274D"/>
    <w:rsid w:val="463F61A4"/>
    <w:rsid w:val="46401681"/>
    <w:rsid w:val="46456C98"/>
    <w:rsid w:val="464E0242"/>
    <w:rsid w:val="46517D32"/>
    <w:rsid w:val="4665558C"/>
    <w:rsid w:val="466B1BD8"/>
    <w:rsid w:val="466C2476"/>
    <w:rsid w:val="466E2692"/>
    <w:rsid w:val="46760E44"/>
    <w:rsid w:val="46774B37"/>
    <w:rsid w:val="467C0A99"/>
    <w:rsid w:val="467D28D5"/>
    <w:rsid w:val="468123C6"/>
    <w:rsid w:val="46840D33"/>
    <w:rsid w:val="46871B1A"/>
    <w:rsid w:val="4689118A"/>
    <w:rsid w:val="469D0882"/>
    <w:rsid w:val="469D1101"/>
    <w:rsid w:val="469E30C8"/>
    <w:rsid w:val="46A77952"/>
    <w:rsid w:val="46B1432D"/>
    <w:rsid w:val="46BA7686"/>
    <w:rsid w:val="46BC33FE"/>
    <w:rsid w:val="46BD7176"/>
    <w:rsid w:val="46C27E2B"/>
    <w:rsid w:val="46C40D3D"/>
    <w:rsid w:val="46C73B51"/>
    <w:rsid w:val="46CE0CBD"/>
    <w:rsid w:val="46CE3131"/>
    <w:rsid w:val="46D85D5E"/>
    <w:rsid w:val="46DD15C6"/>
    <w:rsid w:val="46E33A03"/>
    <w:rsid w:val="46F012F9"/>
    <w:rsid w:val="46F25C61"/>
    <w:rsid w:val="46F801AE"/>
    <w:rsid w:val="47060B1D"/>
    <w:rsid w:val="471125C3"/>
    <w:rsid w:val="4714323A"/>
    <w:rsid w:val="47150D60"/>
    <w:rsid w:val="47192FC6"/>
    <w:rsid w:val="471A0124"/>
    <w:rsid w:val="47255952"/>
    <w:rsid w:val="47416C0A"/>
    <w:rsid w:val="47431429"/>
    <w:rsid w:val="47462CC7"/>
    <w:rsid w:val="474D7B17"/>
    <w:rsid w:val="47520D0B"/>
    <w:rsid w:val="47525B10"/>
    <w:rsid w:val="475573AE"/>
    <w:rsid w:val="47590C4D"/>
    <w:rsid w:val="47613FA5"/>
    <w:rsid w:val="47632E8F"/>
    <w:rsid w:val="476A2E5A"/>
    <w:rsid w:val="477517FF"/>
    <w:rsid w:val="47800CE5"/>
    <w:rsid w:val="47825C8D"/>
    <w:rsid w:val="47A67C0A"/>
    <w:rsid w:val="47A83982"/>
    <w:rsid w:val="47B24801"/>
    <w:rsid w:val="47D66741"/>
    <w:rsid w:val="47E00065"/>
    <w:rsid w:val="47E26E94"/>
    <w:rsid w:val="47E32C0C"/>
    <w:rsid w:val="47EA7AF7"/>
    <w:rsid w:val="47EE0B65"/>
    <w:rsid w:val="47F46BC7"/>
    <w:rsid w:val="47F941DE"/>
    <w:rsid w:val="47FB61A8"/>
    <w:rsid w:val="47FF1A67"/>
    <w:rsid w:val="48052B82"/>
    <w:rsid w:val="481D611E"/>
    <w:rsid w:val="482C33D9"/>
    <w:rsid w:val="483B5A99"/>
    <w:rsid w:val="483C2E55"/>
    <w:rsid w:val="484A67E7"/>
    <w:rsid w:val="484E7DB8"/>
    <w:rsid w:val="485633DE"/>
    <w:rsid w:val="4859057F"/>
    <w:rsid w:val="485D476D"/>
    <w:rsid w:val="485E3773"/>
    <w:rsid w:val="485E7C2E"/>
    <w:rsid w:val="48651023"/>
    <w:rsid w:val="48693111"/>
    <w:rsid w:val="48757D08"/>
    <w:rsid w:val="487675DC"/>
    <w:rsid w:val="487919B5"/>
    <w:rsid w:val="4879779C"/>
    <w:rsid w:val="488D5471"/>
    <w:rsid w:val="488F069E"/>
    <w:rsid w:val="489B34E7"/>
    <w:rsid w:val="48A31C05"/>
    <w:rsid w:val="48A56114"/>
    <w:rsid w:val="48B25D5C"/>
    <w:rsid w:val="48C02547"/>
    <w:rsid w:val="48C04CFB"/>
    <w:rsid w:val="48C3366B"/>
    <w:rsid w:val="48CC36A0"/>
    <w:rsid w:val="48D10CB7"/>
    <w:rsid w:val="48E00EFA"/>
    <w:rsid w:val="48E3427F"/>
    <w:rsid w:val="48E42798"/>
    <w:rsid w:val="48E56510"/>
    <w:rsid w:val="48E80ADD"/>
    <w:rsid w:val="48E924A4"/>
    <w:rsid w:val="48F84495"/>
    <w:rsid w:val="48FA020D"/>
    <w:rsid w:val="48FF1CCE"/>
    <w:rsid w:val="491126A4"/>
    <w:rsid w:val="49182919"/>
    <w:rsid w:val="491B0C33"/>
    <w:rsid w:val="49221512"/>
    <w:rsid w:val="492C5781"/>
    <w:rsid w:val="493279A7"/>
    <w:rsid w:val="49374FBE"/>
    <w:rsid w:val="493F0316"/>
    <w:rsid w:val="49415E3C"/>
    <w:rsid w:val="4942257B"/>
    <w:rsid w:val="49425710"/>
    <w:rsid w:val="494616A5"/>
    <w:rsid w:val="49463453"/>
    <w:rsid w:val="4953791E"/>
    <w:rsid w:val="4956350E"/>
    <w:rsid w:val="496C53B9"/>
    <w:rsid w:val="4972249A"/>
    <w:rsid w:val="49724248"/>
    <w:rsid w:val="49816239"/>
    <w:rsid w:val="499046CE"/>
    <w:rsid w:val="49A32653"/>
    <w:rsid w:val="49A43BB7"/>
    <w:rsid w:val="49AB4396"/>
    <w:rsid w:val="49AE0344"/>
    <w:rsid w:val="49B22896"/>
    <w:rsid w:val="49B758A3"/>
    <w:rsid w:val="49BC1967"/>
    <w:rsid w:val="49BC5BD2"/>
    <w:rsid w:val="49C11240"/>
    <w:rsid w:val="49D4280C"/>
    <w:rsid w:val="49D92519"/>
    <w:rsid w:val="49D96075"/>
    <w:rsid w:val="49DB003F"/>
    <w:rsid w:val="49E13AB3"/>
    <w:rsid w:val="49E418B4"/>
    <w:rsid w:val="49E47FB5"/>
    <w:rsid w:val="49EA0282"/>
    <w:rsid w:val="49F63C26"/>
    <w:rsid w:val="49F92273"/>
    <w:rsid w:val="49F972D5"/>
    <w:rsid w:val="4A08695A"/>
    <w:rsid w:val="4A0B1011"/>
    <w:rsid w:val="4A0D2947"/>
    <w:rsid w:val="4A282B58"/>
    <w:rsid w:val="4A2C089A"/>
    <w:rsid w:val="4A372D9B"/>
    <w:rsid w:val="4A3F299A"/>
    <w:rsid w:val="4A421E6C"/>
    <w:rsid w:val="4A4D25BF"/>
    <w:rsid w:val="4A584FD3"/>
    <w:rsid w:val="4A5907A7"/>
    <w:rsid w:val="4A5A75CD"/>
    <w:rsid w:val="4A5D0A54"/>
    <w:rsid w:val="4A5D6C55"/>
    <w:rsid w:val="4A6A3171"/>
    <w:rsid w:val="4A6A4F1F"/>
    <w:rsid w:val="4A6E2C61"/>
    <w:rsid w:val="4A857FAB"/>
    <w:rsid w:val="4A8835F7"/>
    <w:rsid w:val="4A993A56"/>
    <w:rsid w:val="4A9D52F4"/>
    <w:rsid w:val="4AA80902"/>
    <w:rsid w:val="4AAA17BF"/>
    <w:rsid w:val="4AAE347D"/>
    <w:rsid w:val="4AB92DE2"/>
    <w:rsid w:val="4ABA5EA6"/>
    <w:rsid w:val="4ABD077D"/>
    <w:rsid w:val="4AC751D1"/>
    <w:rsid w:val="4AD11442"/>
    <w:rsid w:val="4AD8632C"/>
    <w:rsid w:val="4AE61309"/>
    <w:rsid w:val="4AED6F1B"/>
    <w:rsid w:val="4AEF6F20"/>
    <w:rsid w:val="4AF316AE"/>
    <w:rsid w:val="4B0B4954"/>
    <w:rsid w:val="4B0C1BF2"/>
    <w:rsid w:val="4B146C4C"/>
    <w:rsid w:val="4B2308FB"/>
    <w:rsid w:val="4B2772B4"/>
    <w:rsid w:val="4B294DDA"/>
    <w:rsid w:val="4B2A5B41"/>
    <w:rsid w:val="4B2E23F0"/>
    <w:rsid w:val="4B2F1B39"/>
    <w:rsid w:val="4B3E6269"/>
    <w:rsid w:val="4B471525"/>
    <w:rsid w:val="4B476B46"/>
    <w:rsid w:val="4B4D6367"/>
    <w:rsid w:val="4B5F07FC"/>
    <w:rsid w:val="4B6B71A0"/>
    <w:rsid w:val="4B6D2F45"/>
    <w:rsid w:val="4B7079F0"/>
    <w:rsid w:val="4B83463F"/>
    <w:rsid w:val="4B9009B5"/>
    <w:rsid w:val="4B904E59"/>
    <w:rsid w:val="4B933D2F"/>
    <w:rsid w:val="4BAD5A0B"/>
    <w:rsid w:val="4BB5041C"/>
    <w:rsid w:val="4BBA3C84"/>
    <w:rsid w:val="4BC56623"/>
    <w:rsid w:val="4BCB40E3"/>
    <w:rsid w:val="4BD44D46"/>
    <w:rsid w:val="4BD5286C"/>
    <w:rsid w:val="4BD72A88"/>
    <w:rsid w:val="4BD905AE"/>
    <w:rsid w:val="4BDB78EF"/>
    <w:rsid w:val="4BDE3E16"/>
    <w:rsid w:val="4BEB64C4"/>
    <w:rsid w:val="4BF12C42"/>
    <w:rsid w:val="4BF52F0E"/>
    <w:rsid w:val="4C1415E6"/>
    <w:rsid w:val="4C172FA0"/>
    <w:rsid w:val="4C196BFC"/>
    <w:rsid w:val="4C1A5F89"/>
    <w:rsid w:val="4C2630C7"/>
    <w:rsid w:val="4C270C5E"/>
    <w:rsid w:val="4C2D4456"/>
    <w:rsid w:val="4C303F46"/>
    <w:rsid w:val="4C3258BB"/>
    <w:rsid w:val="4C33524F"/>
    <w:rsid w:val="4C3752D5"/>
    <w:rsid w:val="4C3830FE"/>
    <w:rsid w:val="4C39104D"/>
    <w:rsid w:val="4C4579F1"/>
    <w:rsid w:val="4C5145E8"/>
    <w:rsid w:val="4C515898"/>
    <w:rsid w:val="4C523EBC"/>
    <w:rsid w:val="4C56042C"/>
    <w:rsid w:val="4C5C146A"/>
    <w:rsid w:val="4C673E0C"/>
    <w:rsid w:val="4C6834D1"/>
    <w:rsid w:val="4C7116FF"/>
    <w:rsid w:val="4C8524E4"/>
    <w:rsid w:val="4C8A14DE"/>
    <w:rsid w:val="4C936721"/>
    <w:rsid w:val="4CA26BF2"/>
    <w:rsid w:val="4CA54934"/>
    <w:rsid w:val="4CA94424"/>
    <w:rsid w:val="4CAA3CF8"/>
    <w:rsid w:val="4CB81EDA"/>
    <w:rsid w:val="4CC72AFC"/>
    <w:rsid w:val="4CCF19B1"/>
    <w:rsid w:val="4CD3324F"/>
    <w:rsid w:val="4CD34FFD"/>
    <w:rsid w:val="4CD60F91"/>
    <w:rsid w:val="4CDB0356"/>
    <w:rsid w:val="4CE754B2"/>
    <w:rsid w:val="4CEF2FAA"/>
    <w:rsid w:val="4CF60CEC"/>
    <w:rsid w:val="4CFF2296"/>
    <w:rsid w:val="4D043409"/>
    <w:rsid w:val="4D0553D3"/>
    <w:rsid w:val="4D185106"/>
    <w:rsid w:val="4D1C36BC"/>
    <w:rsid w:val="4D40112C"/>
    <w:rsid w:val="4D50664E"/>
    <w:rsid w:val="4D571EDE"/>
    <w:rsid w:val="4D64461D"/>
    <w:rsid w:val="4D662D31"/>
    <w:rsid w:val="4D6E46E5"/>
    <w:rsid w:val="4D6F36EB"/>
    <w:rsid w:val="4D7D26D8"/>
    <w:rsid w:val="4D7E765F"/>
    <w:rsid w:val="4D814A59"/>
    <w:rsid w:val="4D8207D1"/>
    <w:rsid w:val="4D9A5B1B"/>
    <w:rsid w:val="4DA62712"/>
    <w:rsid w:val="4DAE13E7"/>
    <w:rsid w:val="4DB34E2F"/>
    <w:rsid w:val="4DB84504"/>
    <w:rsid w:val="4DB96FBB"/>
    <w:rsid w:val="4DBF1A26"/>
    <w:rsid w:val="4DC13DC3"/>
    <w:rsid w:val="4DCB0EBE"/>
    <w:rsid w:val="4DD51249"/>
    <w:rsid w:val="4DD76B54"/>
    <w:rsid w:val="4DDD3C5A"/>
    <w:rsid w:val="4DDF5C24"/>
    <w:rsid w:val="4E0062C6"/>
    <w:rsid w:val="4E014268"/>
    <w:rsid w:val="4E061402"/>
    <w:rsid w:val="4E10402F"/>
    <w:rsid w:val="4E1A54FB"/>
    <w:rsid w:val="4E1F5B1F"/>
    <w:rsid w:val="4E224FCE"/>
    <w:rsid w:val="4E28058A"/>
    <w:rsid w:val="4E3D04BE"/>
    <w:rsid w:val="4E3E1419"/>
    <w:rsid w:val="4E3E6DEE"/>
    <w:rsid w:val="4E4702DE"/>
    <w:rsid w:val="4E5A0E12"/>
    <w:rsid w:val="4E6525CD"/>
    <w:rsid w:val="4E7378F2"/>
    <w:rsid w:val="4E775E5C"/>
    <w:rsid w:val="4E781D55"/>
    <w:rsid w:val="4E7B2F3E"/>
    <w:rsid w:val="4E7B76FB"/>
    <w:rsid w:val="4E7D676B"/>
    <w:rsid w:val="4E7E020D"/>
    <w:rsid w:val="4E8567CB"/>
    <w:rsid w:val="4E8602B0"/>
    <w:rsid w:val="4E871342"/>
    <w:rsid w:val="4E881E17"/>
    <w:rsid w:val="4E8A2957"/>
    <w:rsid w:val="4E9133C2"/>
    <w:rsid w:val="4E964534"/>
    <w:rsid w:val="4EA84268"/>
    <w:rsid w:val="4EAF289C"/>
    <w:rsid w:val="4EC866B8"/>
    <w:rsid w:val="4ED35788"/>
    <w:rsid w:val="4ED4505D"/>
    <w:rsid w:val="4EDE7AF4"/>
    <w:rsid w:val="4EF676C9"/>
    <w:rsid w:val="4EF92D15"/>
    <w:rsid w:val="4EFA6680"/>
    <w:rsid w:val="4EFB7302"/>
    <w:rsid w:val="4F014A44"/>
    <w:rsid w:val="4F027E1C"/>
    <w:rsid w:val="4F0F4918"/>
    <w:rsid w:val="4F132029"/>
    <w:rsid w:val="4F1F277C"/>
    <w:rsid w:val="4F2069A3"/>
    <w:rsid w:val="4F2D7BBE"/>
    <w:rsid w:val="4F3E697A"/>
    <w:rsid w:val="4F3F6FCD"/>
    <w:rsid w:val="4F493C9D"/>
    <w:rsid w:val="4F580259"/>
    <w:rsid w:val="4F5D5052"/>
    <w:rsid w:val="4F5F41F5"/>
    <w:rsid w:val="4F605BB7"/>
    <w:rsid w:val="4F610FE6"/>
    <w:rsid w:val="4F6208BA"/>
    <w:rsid w:val="4F64710F"/>
    <w:rsid w:val="4F652159"/>
    <w:rsid w:val="4F683785"/>
    <w:rsid w:val="4F785982"/>
    <w:rsid w:val="4F7E2887"/>
    <w:rsid w:val="4F8B1BBF"/>
    <w:rsid w:val="4F8E16AF"/>
    <w:rsid w:val="4F8E345D"/>
    <w:rsid w:val="4FB21842"/>
    <w:rsid w:val="4FB35403"/>
    <w:rsid w:val="4FBA6948"/>
    <w:rsid w:val="4FBB7FCB"/>
    <w:rsid w:val="4FD572DE"/>
    <w:rsid w:val="4FD80B7D"/>
    <w:rsid w:val="4FD858A9"/>
    <w:rsid w:val="4FE9121A"/>
    <w:rsid w:val="4FEB08B0"/>
    <w:rsid w:val="50067498"/>
    <w:rsid w:val="501A2F43"/>
    <w:rsid w:val="501C166B"/>
    <w:rsid w:val="502671EF"/>
    <w:rsid w:val="50343201"/>
    <w:rsid w:val="504B57F2"/>
    <w:rsid w:val="50526B81"/>
    <w:rsid w:val="505C355C"/>
    <w:rsid w:val="505D63A3"/>
    <w:rsid w:val="50681A6D"/>
    <w:rsid w:val="50715259"/>
    <w:rsid w:val="50844624"/>
    <w:rsid w:val="50AF18DD"/>
    <w:rsid w:val="50B650D9"/>
    <w:rsid w:val="50D20075"/>
    <w:rsid w:val="50E023DF"/>
    <w:rsid w:val="50EC21B3"/>
    <w:rsid w:val="510C31D4"/>
    <w:rsid w:val="511277C4"/>
    <w:rsid w:val="512027DB"/>
    <w:rsid w:val="513B5867"/>
    <w:rsid w:val="513C78F7"/>
    <w:rsid w:val="51404D66"/>
    <w:rsid w:val="514B0206"/>
    <w:rsid w:val="516302E9"/>
    <w:rsid w:val="516528E4"/>
    <w:rsid w:val="51725C05"/>
    <w:rsid w:val="517448D5"/>
    <w:rsid w:val="51813FDB"/>
    <w:rsid w:val="518E1E3B"/>
    <w:rsid w:val="519D2121"/>
    <w:rsid w:val="51A97B2A"/>
    <w:rsid w:val="51AC22C1"/>
    <w:rsid w:val="51C34359"/>
    <w:rsid w:val="51C965A9"/>
    <w:rsid w:val="51CE0489"/>
    <w:rsid w:val="51D610EC"/>
    <w:rsid w:val="51DA79D5"/>
    <w:rsid w:val="51DC0DF8"/>
    <w:rsid w:val="51DC4954"/>
    <w:rsid w:val="51EF3CA7"/>
    <w:rsid w:val="51F223CA"/>
    <w:rsid w:val="51F6353C"/>
    <w:rsid w:val="51F7178E"/>
    <w:rsid w:val="51F779E0"/>
    <w:rsid w:val="51F85506"/>
    <w:rsid w:val="520143BB"/>
    <w:rsid w:val="52050205"/>
    <w:rsid w:val="522307D5"/>
    <w:rsid w:val="52255337"/>
    <w:rsid w:val="52262073"/>
    <w:rsid w:val="523429E2"/>
    <w:rsid w:val="523A78CD"/>
    <w:rsid w:val="524349D3"/>
    <w:rsid w:val="524A65B1"/>
    <w:rsid w:val="52524C16"/>
    <w:rsid w:val="525C5A95"/>
    <w:rsid w:val="52661E4B"/>
    <w:rsid w:val="52770955"/>
    <w:rsid w:val="527A4250"/>
    <w:rsid w:val="527D1229"/>
    <w:rsid w:val="527D22F9"/>
    <w:rsid w:val="52974D1F"/>
    <w:rsid w:val="529F3C01"/>
    <w:rsid w:val="52A90A34"/>
    <w:rsid w:val="52B70F1D"/>
    <w:rsid w:val="52BF248C"/>
    <w:rsid w:val="52CA1D4B"/>
    <w:rsid w:val="52D16B32"/>
    <w:rsid w:val="52E45466"/>
    <w:rsid w:val="52F61A46"/>
    <w:rsid w:val="52F74596"/>
    <w:rsid w:val="52F91AE9"/>
    <w:rsid w:val="52FB52AE"/>
    <w:rsid w:val="5301035C"/>
    <w:rsid w:val="53057EFF"/>
    <w:rsid w:val="53112469"/>
    <w:rsid w:val="5314011E"/>
    <w:rsid w:val="531C6FD2"/>
    <w:rsid w:val="53226CDE"/>
    <w:rsid w:val="53277E51"/>
    <w:rsid w:val="532B2D23"/>
    <w:rsid w:val="532D5146"/>
    <w:rsid w:val="534A3B3F"/>
    <w:rsid w:val="534E1C82"/>
    <w:rsid w:val="535B0DD0"/>
    <w:rsid w:val="53607807"/>
    <w:rsid w:val="536A41E2"/>
    <w:rsid w:val="536C0D8A"/>
    <w:rsid w:val="536E3CD2"/>
    <w:rsid w:val="5382152B"/>
    <w:rsid w:val="53831ADC"/>
    <w:rsid w:val="538F3C48"/>
    <w:rsid w:val="5394300C"/>
    <w:rsid w:val="539E5689"/>
    <w:rsid w:val="53A73F49"/>
    <w:rsid w:val="53A771E4"/>
    <w:rsid w:val="53B11E05"/>
    <w:rsid w:val="53B2607E"/>
    <w:rsid w:val="53C9715A"/>
    <w:rsid w:val="53CA0019"/>
    <w:rsid w:val="53DA3854"/>
    <w:rsid w:val="53DD1FDE"/>
    <w:rsid w:val="53DE1A62"/>
    <w:rsid w:val="53DF697E"/>
    <w:rsid w:val="53EB5322"/>
    <w:rsid w:val="53FA37B7"/>
    <w:rsid w:val="53FC63AE"/>
    <w:rsid w:val="53FE7BF4"/>
    <w:rsid w:val="54010DD0"/>
    <w:rsid w:val="540B1521"/>
    <w:rsid w:val="540B7773"/>
    <w:rsid w:val="540E1011"/>
    <w:rsid w:val="54176117"/>
    <w:rsid w:val="541859EC"/>
    <w:rsid w:val="542C1497"/>
    <w:rsid w:val="542E3461"/>
    <w:rsid w:val="54352A41"/>
    <w:rsid w:val="543A031A"/>
    <w:rsid w:val="545407CF"/>
    <w:rsid w:val="545729B8"/>
    <w:rsid w:val="545804DE"/>
    <w:rsid w:val="545A6004"/>
    <w:rsid w:val="545C1D7C"/>
    <w:rsid w:val="545E5EFC"/>
    <w:rsid w:val="546E00BF"/>
    <w:rsid w:val="54802CFF"/>
    <w:rsid w:val="548B46CD"/>
    <w:rsid w:val="5492579E"/>
    <w:rsid w:val="54937774"/>
    <w:rsid w:val="549E4143"/>
    <w:rsid w:val="54A379AB"/>
    <w:rsid w:val="54AA6F8B"/>
    <w:rsid w:val="54AB6860"/>
    <w:rsid w:val="54AE25C6"/>
    <w:rsid w:val="54D20290"/>
    <w:rsid w:val="54DF6509"/>
    <w:rsid w:val="54E3424B"/>
    <w:rsid w:val="54F02F3B"/>
    <w:rsid w:val="54FF27FC"/>
    <w:rsid w:val="550A7A2A"/>
    <w:rsid w:val="550B374D"/>
    <w:rsid w:val="551F48B1"/>
    <w:rsid w:val="55200FFC"/>
    <w:rsid w:val="55286102"/>
    <w:rsid w:val="552A1E7A"/>
    <w:rsid w:val="552D54C7"/>
    <w:rsid w:val="553D0618"/>
    <w:rsid w:val="553E0D3D"/>
    <w:rsid w:val="554051FA"/>
    <w:rsid w:val="55450A62"/>
    <w:rsid w:val="554B1750"/>
    <w:rsid w:val="554C3B9F"/>
    <w:rsid w:val="555D5DAC"/>
    <w:rsid w:val="556103AB"/>
    <w:rsid w:val="55630EE8"/>
    <w:rsid w:val="55697A67"/>
    <w:rsid w:val="55847C23"/>
    <w:rsid w:val="55872E29"/>
    <w:rsid w:val="5595230F"/>
    <w:rsid w:val="5597188D"/>
    <w:rsid w:val="559B68D4"/>
    <w:rsid w:val="55A5175D"/>
    <w:rsid w:val="55B560BD"/>
    <w:rsid w:val="55E71B19"/>
    <w:rsid w:val="55F14746"/>
    <w:rsid w:val="55F652A6"/>
    <w:rsid w:val="56004989"/>
    <w:rsid w:val="56091A90"/>
    <w:rsid w:val="5609776F"/>
    <w:rsid w:val="561072C2"/>
    <w:rsid w:val="56172E24"/>
    <w:rsid w:val="5617659C"/>
    <w:rsid w:val="56190046"/>
    <w:rsid w:val="56244B1C"/>
    <w:rsid w:val="562453FA"/>
    <w:rsid w:val="56334D5F"/>
    <w:rsid w:val="56374D38"/>
    <w:rsid w:val="563B3C13"/>
    <w:rsid w:val="563F3703"/>
    <w:rsid w:val="56466840"/>
    <w:rsid w:val="56470DAE"/>
    <w:rsid w:val="564725B8"/>
    <w:rsid w:val="56481A64"/>
    <w:rsid w:val="564E3947"/>
    <w:rsid w:val="565847C5"/>
    <w:rsid w:val="565D1DDC"/>
    <w:rsid w:val="565F3DA6"/>
    <w:rsid w:val="5661367A"/>
    <w:rsid w:val="566325E2"/>
    <w:rsid w:val="5664316A"/>
    <w:rsid w:val="566635E3"/>
    <w:rsid w:val="56690780"/>
    <w:rsid w:val="566E223B"/>
    <w:rsid w:val="566E5CDB"/>
    <w:rsid w:val="567E2D56"/>
    <w:rsid w:val="569F41A2"/>
    <w:rsid w:val="56A05F18"/>
    <w:rsid w:val="56A143BE"/>
    <w:rsid w:val="56A27E86"/>
    <w:rsid w:val="56A30136"/>
    <w:rsid w:val="56A7004F"/>
    <w:rsid w:val="56AC5B04"/>
    <w:rsid w:val="56B37C4E"/>
    <w:rsid w:val="56B7366F"/>
    <w:rsid w:val="56BE6D1E"/>
    <w:rsid w:val="56C37BB3"/>
    <w:rsid w:val="56C87B9D"/>
    <w:rsid w:val="56CB31E9"/>
    <w:rsid w:val="56CE4A87"/>
    <w:rsid w:val="56D06A51"/>
    <w:rsid w:val="56DC587A"/>
    <w:rsid w:val="56E77C3A"/>
    <w:rsid w:val="56EF30AB"/>
    <w:rsid w:val="56FC2AC0"/>
    <w:rsid w:val="570566FB"/>
    <w:rsid w:val="57081D47"/>
    <w:rsid w:val="570A0594"/>
    <w:rsid w:val="570A3D11"/>
    <w:rsid w:val="572B3C88"/>
    <w:rsid w:val="572D5C52"/>
    <w:rsid w:val="5730129E"/>
    <w:rsid w:val="57362D58"/>
    <w:rsid w:val="5736769D"/>
    <w:rsid w:val="573C0B3A"/>
    <w:rsid w:val="57420FCD"/>
    <w:rsid w:val="5749666D"/>
    <w:rsid w:val="574B2F3C"/>
    <w:rsid w:val="574F7976"/>
    <w:rsid w:val="57582A95"/>
    <w:rsid w:val="57686C8A"/>
    <w:rsid w:val="576C677A"/>
    <w:rsid w:val="57727B09"/>
    <w:rsid w:val="57743881"/>
    <w:rsid w:val="577473DD"/>
    <w:rsid w:val="57776ECD"/>
    <w:rsid w:val="57792C45"/>
    <w:rsid w:val="57831D16"/>
    <w:rsid w:val="57897F1D"/>
    <w:rsid w:val="578A76F4"/>
    <w:rsid w:val="579867EA"/>
    <w:rsid w:val="579E08FE"/>
    <w:rsid w:val="57A2219C"/>
    <w:rsid w:val="57A768A0"/>
    <w:rsid w:val="57AD6FAC"/>
    <w:rsid w:val="57AE0B41"/>
    <w:rsid w:val="57B91294"/>
    <w:rsid w:val="57C226A3"/>
    <w:rsid w:val="57CA524F"/>
    <w:rsid w:val="57D32355"/>
    <w:rsid w:val="57DB745C"/>
    <w:rsid w:val="57DC4718"/>
    <w:rsid w:val="57E207EA"/>
    <w:rsid w:val="57E36310"/>
    <w:rsid w:val="57E502DB"/>
    <w:rsid w:val="57EA58F1"/>
    <w:rsid w:val="57F64296"/>
    <w:rsid w:val="5806097D"/>
    <w:rsid w:val="58075D24"/>
    <w:rsid w:val="581806B0"/>
    <w:rsid w:val="5818420C"/>
    <w:rsid w:val="582000AA"/>
    <w:rsid w:val="583077A8"/>
    <w:rsid w:val="58360B36"/>
    <w:rsid w:val="5842572D"/>
    <w:rsid w:val="58492617"/>
    <w:rsid w:val="58555460"/>
    <w:rsid w:val="586C27AA"/>
    <w:rsid w:val="58705DF6"/>
    <w:rsid w:val="58750F7D"/>
    <w:rsid w:val="588673C8"/>
    <w:rsid w:val="588C699A"/>
    <w:rsid w:val="588D376D"/>
    <w:rsid w:val="588E0972"/>
    <w:rsid w:val="5890729B"/>
    <w:rsid w:val="58943211"/>
    <w:rsid w:val="58982ADD"/>
    <w:rsid w:val="58987213"/>
    <w:rsid w:val="58A12453"/>
    <w:rsid w:val="58A75590"/>
    <w:rsid w:val="58BC728D"/>
    <w:rsid w:val="58C16652"/>
    <w:rsid w:val="58CA3E2F"/>
    <w:rsid w:val="58D81BED"/>
    <w:rsid w:val="58E6255C"/>
    <w:rsid w:val="58F864E2"/>
    <w:rsid w:val="58FC3B2E"/>
    <w:rsid w:val="59182B3E"/>
    <w:rsid w:val="591C7D2C"/>
    <w:rsid w:val="5938309B"/>
    <w:rsid w:val="593F3A1A"/>
    <w:rsid w:val="595B4CF8"/>
    <w:rsid w:val="597402F8"/>
    <w:rsid w:val="597B0EF6"/>
    <w:rsid w:val="597C6A1D"/>
    <w:rsid w:val="5980650D"/>
    <w:rsid w:val="59822285"/>
    <w:rsid w:val="59853B23"/>
    <w:rsid w:val="59870A5C"/>
    <w:rsid w:val="59875AED"/>
    <w:rsid w:val="59945B14"/>
    <w:rsid w:val="599F2A73"/>
    <w:rsid w:val="59A73A9A"/>
    <w:rsid w:val="59A85A64"/>
    <w:rsid w:val="59AD6BD6"/>
    <w:rsid w:val="59D423B5"/>
    <w:rsid w:val="59DF06DF"/>
    <w:rsid w:val="59E422EB"/>
    <w:rsid w:val="59E720E8"/>
    <w:rsid w:val="59F221BF"/>
    <w:rsid w:val="59FD7B5D"/>
    <w:rsid w:val="5A0467C7"/>
    <w:rsid w:val="5A0A107B"/>
    <w:rsid w:val="5A1E1882"/>
    <w:rsid w:val="5A220C5B"/>
    <w:rsid w:val="5A2D3A76"/>
    <w:rsid w:val="5A3D7F5A"/>
    <w:rsid w:val="5A582FE6"/>
    <w:rsid w:val="5A5A0B0C"/>
    <w:rsid w:val="5A60652C"/>
    <w:rsid w:val="5A624BEA"/>
    <w:rsid w:val="5A645D21"/>
    <w:rsid w:val="5A6967A5"/>
    <w:rsid w:val="5A7A7400"/>
    <w:rsid w:val="5A81078E"/>
    <w:rsid w:val="5A821E11"/>
    <w:rsid w:val="5A85261E"/>
    <w:rsid w:val="5A8E2EAB"/>
    <w:rsid w:val="5A8E6A07"/>
    <w:rsid w:val="5A957C80"/>
    <w:rsid w:val="5A957D96"/>
    <w:rsid w:val="5A967C73"/>
    <w:rsid w:val="5A990A3E"/>
    <w:rsid w:val="5A9B2ED2"/>
    <w:rsid w:val="5A9F6E67"/>
    <w:rsid w:val="5AA434CE"/>
    <w:rsid w:val="5AB75F5E"/>
    <w:rsid w:val="5ABD553F"/>
    <w:rsid w:val="5AC10B8B"/>
    <w:rsid w:val="5ACB467F"/>
    <w:rsid w:val="5ACE2A1C"/>
    <w:rsid w:val="5AD563E4"/>
    <w:rsid w:val="5AE1122D"/>
    <w:rsid w:val="5AE8436A"/>
    <w:rsid w:val="5AE9006A"/>
    <w:rsid w:val="5AF41AAB"/>
    <w:rsid w:val="5AF745AD"/>
    <w:rsid w:val="5AF820D3"/>
    <w:rsid w:val="5AFC455D"/>
    <w:rsid w:val="5B0373F5"/>
    <w:rsid w:val="5B0F3412"/>
    <w:rsid w:val="5B127639"/>
    <w:rsid w:val="5B213D5D"/>
    <w:rsid w:val="5B2445F4"/>
    <w:rsid w:val="5B2630E4"/>
    <w:rsid w:val="5B2A7EFD"/>
    <w:rsid w:val="5B2D086A"/>
    <w:rsid w:val="5B3752F1"/>
    <w:rsid w:val="5B3B50F4"/>
    <w:rsid w:val="5B490B80"/>
    <w:rsid w:val="5B555777"/>
    <w:rsid w:val="5B5A04A5"/>
    <w:rsid w:val="5B637E94"/>
    <w:rsid w:val="5B6559BA"/>
    <w:rsid w:val="5B6836FC"/>
    <w:rsid w:val="5B6B0AF7"/>
    <w:rsid w:val="5B6C07C2"/>
    <w:rsid w:val="5B6F4E81"/>
    <w:rsid w:val="5B7F45A2"/>
    <w:rsid w:val="5B871DD5"/>
    <w:rsid w:val="5B89601B"/>
    <w:rsid w:val="5B8D1302"/>
    <w:rsid w:val="5B8D4F11"/>
    <w:rsid w:val="5B905410"/>
    <w:rsid w:val="5B920779"/>
    <w:rsid w:val="5B980CD1"/>
    <w:rsid w:val="5B983EE3"/>
    <w:rsid w:val="5B9B13DC"/>
    <w:rsid w:val="5BAB5397"/>
    <w:rsid w:val="5BB73D3C"/>
    <w:rsid w:val="5BB97AB4"/>
    <w:rsid w:val="5BD3732F"/>
    <w:rsid w:val="5BDC19F5"/>
    <w:rsid w:val="5BEA4AB0"/>
    <w:rsid w:val="5BEF1728"/>
    <w:rsid w:val="5BF24C58"/>
    <w:rsid w:val="5BF45FDC"/>
    <w:rsid w:val="5BF907F8"/>
    <w:rsid w:val="5BFB3C44"/>
    <w:rsid w:val="5BFD3E45"/>
    <w:rsid w:val="5BFE7BBD"/>
    <w:rsid w:val="5BFF1A08"/>
    <w:rsid w:val="5C02145B"/>
    <w:rsid w:val="5C031F9B"/>
    <w:rsid w:val="5C0B3317"/>
    <w:rsid w:val="5C1949F7"/>
    <w:rsid w:val="5C1A0D10"/>
    <w:rsid w:val="5C1E3DBB"/>
    <w:rsid w:val="5C225659"/>
    <w:rsid w:val="5C2C64D8"/>
    <w:rsid w:val="5C2D3FFE"/>
    <w:rsid w:val="5C2F421A"/>
    <w:rsid w:val="5C317F92"/>
    <w:rsid w:val="5C335AB8"/>
    <w:rsid w:val="5C3E7FB9"/>
    <w:rsid w:val="5C4952DC"/>
    <w:rsid w:val="5C6E4D42"/>
    <w:rsid w:val="5C765331"/>
    <w:rsid w:val="5C7E485A"/>
    <w:rsid w:val="5C8956D8"/>
    <w:rsid w:val="5C9127DF"/>
    <w:rsid w:val="5C981DBF"/>
    <w:rsid w:val="5CA00C74"/>
    <w:rsid w:val="5CA32362"/>
    <w:rsid w:val="5CBC26D4"/>
    <w:rsid w:val="5CC8381E"/>
    <w:rsid w:val="5CD059FB"/>
    <w:rsid w:val="5CD31049"/>
    <w:rsid w:val="5CD438B6"/>
    <w:rsid w:val="5CD730F7"/>
    <w:rsid w:val="5CD8040E"/>
    <w:rsid w:val="5CF05758"/>
    <w:rsid w:val="5CF0596A"/>
    <w:rsid w:val="5CF27722"/>
    <w:rsid w:val="5CF56044"/>
    <w:rsid w:val="5CFB6E19"/>
    <w:rsid w:val="5D072AA1"/>
    <w:rsid w:val="5D095CCB"/>
    <w:rsid w:val="5D131446"/>
    <w:rsid w:val="5D146F32"/>
    <w:rsid w:val="5D172CE4"/>
    <w:rsid w:val="5D181620"/>
    <w:rsid w:val="5D184CAE"/>
    <w:rsid w:val="5D1A27D4"/>
    <w:rsid w:val="5D203F06"/>
    <w:rsid w:val="5D335644"/>
    <w:rsid w:val="5D3A2E77"/>
    <w:rsid w:val="5D415FB3"/>
    <w:rsid w:val="5D470C70"/>
    <w:rsid w:val="5D58590E"/>
    <w:rsid w:val="5D5D0F24"/>
    <w:rsid w:val="5D634DC1"/>
    <w:rsid w:val="5D6A295B"/>
    <w:rsid w:val="5D79399F"/>
    <w:rsid w:val="5D835EC1"/>
    <w:rsid w:val="5D861C18"/>
    <w:rsid w:val="5D8660BC"/>
    <w:rsid w:val="5D8806B0"/>
    <w:rsid w:val="5D8B7388"/>
    <w:rsid w:val="5D8E1050"/>
    <w:rsid w:val="5D997B9D"/>
    <w:rsid w:val="5D9A3915"/>
    <w:rsid w:val="5D9C768D"/>
    <w:rsid w:val="5DC015CE"/>
    <w:rsid w:val="5DC41583"/>
    <w:rsid w:val="5DC61A5A"/>
    <w:rsid w:val="5DC664B8"/>
    <w:rsid w:val="5DC81954"/>
    <w:rsid w:val="5DCB1D21"/>
    <w:rsid w:val="5DCC7F73"/>
    <w:rsid w:val="5DDB2192"/>
    <w:rsid w:val="5DDE7CA6"/>
    <w:rsid w:val="5DE563EE"/>
    <w:rsid w:val="5DED1C97"/>
    <w:rsid w:val="5DF212EC"/>
    <w:rsid w:val="5DF9688E"/>
    <w:rsid w:val="5DFC2281"/>
    <w:rsid w:val="5E0D0F4A"/>
    <w:rsid w:val="5E0E058B"/>
    <w:rsid w:val="5E1F1BDB"/>
    <w:rsid w:val="5E203E1A"/>
    <w:rsid w:val="5E2148F8"/>
    <w:rsid w:val="5E282CCF"/>
    <w:rsid w:val="5E343D6A"/>
    <w:rsid w:val="5E4D2736"/>
    <w:rsid w:val="5E4F2952"/>
    <w:rsid w:val="5E524B86"/>
    <w:rsid w:val="5E581806"/>
    <w:rsid w:val="5E584D91"/>
    <w:rsid w:val="5E7A5C08"/>
    <w:rsid w:val="5E7D301B"/>
    <w:rsid w:val="5E9903AF"/>
    <w:rsid w:val="5EA73DE0"/>
    <w:rsid w:val="5EAA186F"/>
    <w:rsid w:val="5EB7471A"/>
    <w:rsid w:val="5EBA426F"/>
    <w:rsid w:val="5EBF3633"/>
    <w:rsid w:val="5EC724E8"/>
    <w:rsid w:val="5ECE3876"/>
    <w:rsid w:val="5ED1216C"/>
    <w:rsid w:val="5ED13367"/>
    <w:rsid w:val="5EE66520"/>
    <w:rsid w:val="5EE742EC"/>
    <w:rsid w:val="5EEE216B"/>
    <w:rsid w:val="5EFD5F0A"/>
    <w:rsid w:val="5F01397A"/>
    <w:rsid w:val="5F0D0843"/>
    <w:rsid w:val="5F144F6B"/>
    <w:rsid w:val="5F192073"/>
    <w:rsid w:val="5F1F0576"/>
    <w:rsid w:val="5F225970"/>
    <w:rsid w:val="5F3202A9"/>
    <w:rsid w:val="5F3538F6"/>
    <w:rsid w:val="5F3D3AC8"/>
    <w:rsid w:val="5F4B46AF"/>
    <w:rsid w:val="5F4D6E91"/>
    <w:rsid w:val="5F5543AD"/>
    <w:rsid w:val="5F5978CF"/>
    <w:rsid w:val="5F5B2F83"/>
    <w:rsid w:val="5F610B8F"/>
    <w:rsid w:val="5F6B2800"/>
    <w:rsid w:val="5F6F21BA"/>
    <w:rsid w:val="5F7B1392"/>
    <w:rsid w:val="5F8641AB"/>
    <w:rsid w:val="5F8870CA"/>
    <w:rsid w:val="5F9F5A01"/>
    <w:rsid w:val="5FA36728"/>
    <w:rsid w:val="5FA665A1"/>
    <w:rsid w:val="5FBC5DC5"/>
    <w:rsid w:val="5FC30F01"/>
    <w:rsid w:val="5FC44C79"/>
    <w:rsid w:val="5FC45BE0"/>
    <w:rsid w:val="5FD177A6"/>
    <w:rsid w:val="5FD650D9"/>
    <w:rsid w:val="5FDB761F"/>
    <w:rsid w:val="5FE06E85"/>
    <w:rsid w:val="5FEF3C20"/>
    <w:rsid w:val="5FEF619A"/>
    <w:rsid w:val="5FF23595"/>
    <w:rsid w:val="600211B3"/>
    <w:rsid w:val="60084BEC"/>
    <w:rsid w:val="60110BDA"/>
    <w:rsid w:val="6013121A"/>
    <w:rsid w:val="601E1C57"/>
    <w:rsid w:val="60223BA7"/>
    <w:rsid w:val="60275C02"/>
    <w:rsid w:val="602816AC"/>
    <w:rsid w:val="602F47E9"/>
    <w:rsid w:val="603142B4"/>
    <w:rsid w:val="6035501C"/>
    <w:rsid w:val="60430294"/>
    <w:rsid w:val="60494985"/>
    <w:rsid w:val="60536729"/>
    <w:rsid w:val="605B55DE"/>
    <w:rsid w:val="606D19C1"/>
    <w:rsid w:val="60730B79"/>
    <w:rsid w:val="607466A0"/>
    <w:rsid w:val="608763D3"/>
    <w:rsid w:val="608F7076"/>
    <w:rsid w:val="60922AF2"/>
    <w:rsid w:val="60923975"/>
    <w:rsid w:val="60964868"/>
    <w:rsid w:val="60A823C5"/>
    <w:rsid w:val="60AA3E6F"/>
    <w:rsid w:val="60AC5E39"/>
    <w:rsid w:val="60B13450"/>
    <w:rsid w:val="60B3541A"/>
    <w:rsid w:val="60C43183"/>
    <w:rsid w:val="60CE7B5E"/>
    <w:rsid w:val="60D044D7"/>
    <w:rsid w:val="60D40EEC"/>
    <w:rsid w:val="60D8398C"/>
    <w:rsid w:val="60DA0BF8"/>
    <w:rsid w:val="60E76E71"/>
    <w:rsid w:val="60EE5136"/>
    <w:rsid w:val="60F07DF9"/>
    <w:rsid w:val="60FB1283"/>
    <w:rsid w:val="60FB77A2"/>
    <w:rsid w:val="61151C31"/>
    <w:rsid w:val="611B5446"/>
    <w:rsid w:val="611F620B"/>
    <w:rsid w:val="61204131"/>
    <w:rsid w:val="6129276F"/>
    <w:rsid w:val="612E2CF2"/>
    <w:rsid w:val="61355E2F"/>
    <w:rsid w:val="613A3445"/>
    <w:rsid w:val="61442516"/>
    <w:rsid w:val="614E0566"/>
    <w:rsid w:val="61525580"/>
    <w:rsid w:val="6155202D"/>
    <w:rsid w:val="615D7134"/>
    <w:rsid w:val="6162404E"/>
    <w:rsid w:val="61761FA3"/>
    <w:rsid w:val="61B64C3C"/>
    <w:rsid w:val="61D144C1"/>
    <w:rsid w:val="61E16D6F"/>
    <w:rsid w:val="61E57855"/>
    <w:rsid w:val="61E91EFB"/>
    <w:rsid w:val="61F061FA"/>
    <w:rsid w:val="61FA4B78"/>
    <w:rsid w:val="61FC06FB"/>
    <w:rsid w:val="620E38C0"/>
    <w:rsid w:val="6210207B"/>
    <w:rsid w:val="621C2B4B"/>
    <w:rsid w:val="621D6164"/>
    <w:rsid w:val="6225666E"/>
    <w:rsid w:val="62355108"/>
    <w:rsid w:val="62377985"/>
    <w:rsid w:val="624327CD"/>
    <w:rsid w:val="624B32CE"/>
    <w:rsid w:val="6252656D"/>
    <w:rsid w:val="626764BC"/>
    <w:rsid w:val="626D15F8"/>
    <w:rsid w:val="627110E9"/>
    <w:rsid w:val="62755297"/>
    <w:rsid w:val="62790129"/>
    <w:rsid w:val="627A6877"/>
    <w:rsid w:val="627E7362"/>
    <w:rsid w:val="6282559C"/>
    <w:rsid w:val="628B722D"/>
    <w:rsid w:val="62976CDA"/>
    <w:rsid w:val="6299063F"/>
    <w:rsid w:val="62A611DF"/>
    <w:rsid w:val="62A96AD4"/>
    <w:rsid w:val="62AB302E"/>
    <w:rsid w:val="62B45479"/>
    <w:rsid w:val="62BB1CC4"/>
    <w:rsid w:val="62BC7E8A"/>
    <w:rsid w:val="62C11066"/>
    <w:rsid w:val="62C31218"/>
    <w:rsid w:val="62C54E85"/>
    <w:rsid w:val="62C767A2"/>
    <w:rsid w:val="62C84A81"/>
    <w:rsid w:val="62D05616"/>
    <w:rsid w:val="62D3438C"/>
    <w:rsid w:val="62E01DCA"/>
    <w:rsid w:val="62E25B42"/>
    <w:rsid w:val="62E95123"/>
    <w:rsid w:val="62EC076F"/>
    <w:rsid w:val="62F01448"/>
    <w:rsid w:val="62F835B8"/>
    <w:rsid w:val="62FB6C04"/>
    <w:rsid w:val="6300421A"/>
    <w:rsid w:val="63052399"/>
    <w:rsid w:val="630B32EB"/>
    <w:rsid w:val="630F445E"/>
    <w:rsid w:val="63181564"/>
    <w:rsid w:val="63185A08"/>
    <w:rsid w:val="63193498"/>
    <w:rsid w:val="63212B0F"/>
    <w:rsid w:val="63275C4B"/>
    <w:rsid w:val="63350368"/>
    <w:rsid w:val="633D0FCB"/>
    <w:rsid w:val="63424833"/>
    <w:rsid w:val="634467FD"/>
    <w:rsid w:val="634C3904"/>
    <w:rsid w:val="63512CC8"/>
    <w:rsid w:val="6362208D"/>
    <w:rsid w:val="6368284B"/>
    <w:rsid w:val="63690012"/>
    <w:rsid w:val="63691DC0"/>
    <w:rsid w:val="637013A0"/>
    <w:rsid w:val="63716EC6"/>
    <w:rsid w:val="637569B7"/>
    <w:rsid w:val="637846F9"/>
    <w:rsid w:val="637A3FCD"/>
    <w:rsid w:val="6384309D"/>
    <w:rsid w:val="638B61DA"/>
    <w:rsid w:val="638D5C5B"/>
    <w:rsid w:val="63911317"/>
    <w:rsid w:val="63AD43A2"/>
    <w:rsid w:val="63C67212"/>
    <w:rsid w:val="63D25BB7"/>
    <w:rsid w:val="63D47B81"/>
    <w:rsid w:val="63FC1295"/>
    <w:rsid w:val="6401649C"/>
    <w:rsid w:val="640768D7"/>
    <w:rsid w:val="640B731B"/>
    <w:rsid w:val="641066DF"/>
    <w:rsid w:val="64144A46"/>
    <w:rsid w:val="64185725"/>
    <w:rsid w:val="64217295"/>
    <w:rsid w:val="64267CB1"/>
    <w:rsid w:val="642B3519"/>
    <w:rsid w:val="64354398"/>
    <w:rsid w:val="643E2C0B"/>
    <w:rsid w:val="64482C5A"/>
    <w:rsid w:val="644C6A27"/>
    <w:rsid w:val="64633285"/>
    <w:rsid w:val="646C230A"/>
    <w:rsid w:val="646F76FD"/>
    <w:rsid w:val="64744EC0"/>
    <w:rsid w:val="647D3394"/>
    <w:rsid w:val="6481138B"/>
    <w:rsid w:val="64823968"/>
    <w:rsid w:val="648B1F59"/>
    <w:rsid w:val="649015CE"/>
    <w:rsid w:val="64980E92"/>
    <w:rsid w:val="6499779F"/>
    <w:rsid w:val="649B244D"/>
    <w:rsid w:val="64A77044"/>
    <w:rsid w:val="64AC59D8"/>
    <w:rsid w:val="64B13A1E"/>
    <w:rsid w:val="64C25C2B"/>
    <w:rsid w:val="64C5396E"/>
    <w:rsid w:val="64CD33E9"/>
    <w:rsid w:val="64D63485"/>
    <w:rsid w:val="64D92F75"/>
    <w:rsid w:val="64DD2A65"/>
    <w:rsid w:val="64EF2799"/>
    <w:rsid w:val="64F1206D"/>
    <w:rsid w:val="65000502"/>
    <w:rsid w:val="650049A6"/>
    <w:rsid w:val="65006FEF"/>
    <w:rsid w:val="650C04E3"/>
    <w:rsid w:val="65150451"/>
    <w:rsid w:val="651B6575"/>
    <w:rsid w:val="6523365A"/>
    <w:rsid w:val="65295CAB"/>
    <w:rsid w:val="65404DA2"/>
    <w:rsid w:val="65476131"/>
    <w:rsid w:val="655D0203"/>
    <w:rsid w:val="65660CAD"/>
    <w:rsid w:val="65735178"/>
    <w:rsid w:val="65876E75"/>
    <w:rsid w:val="658B0713"/>
    <w:rsid w:val="658B4735"/>
    <w:rsid w:val="65902FFB"/>
    <w:rsid w:val="65956E9C"/>
    <w:rsid w:val="65984BDE"/>
    <w:rsid w:val="65A91670"/>
    <w:rsid w:val="65AC2438"/>
    <w:rsid w:val="65AE4402"/>
    <w:rsid w:val="65B40423"/>
    <w:rsid w:val="65BC35E0"/>
    <w:rsid w:val="65BD4645"/>
    <w:rsid w:val="65C21C5B"/>
    <w:rsid w:val="65C43C25"/>
    <w:rsid w:val="65D774B5"/>
    <w:rsid w:val="65E322FD"/>
    <w:rsid w:val="65E73470"/>
    <w:rsid w:val="65E83277"/>
    <w:rsid w:val="65E9368C"/>
    <w:rsid w:val="65EB7404"/>
    <w:rsid w:val="65EF3A9D"/>
    <w:rsid w:val="65FF07B9"/>
    <w:rsid w:val="660E6C4E"/>
    <w:rsid w:val="66102A8E"/>
    <w:rsid w:val="6615622F"/>
    <w:rsid w:val="661F3084"/>
    <w:rsid w:val="66245D61"/>
    <w:rsid w:val="662500B3"/>
    <w:rsid w:val="662621EA"/>
    <w:rsid w:val="66291CDA"/>
    <w:rsid w:val="662B08ED"/>
    <w:rsid w:val="662E2842"/>
    <w:rsid w:val="66321641"/>
    <w:rsid w:val="66346468"/>
    <w:rsid w:val="663B0CF2"/>
    <w:rsid w:val="66412A10"/>
    <w:rsid w:val="66470B96"/>
    <w:rsid w:val="664B39FF"/>
    <w:rsid w:val="664E34EF"/>
    <w:rsid w:val="665734D0"/>
    <w:rsid w:val="665925BF"/>
    <w:rsid w:val="6660394E"/>
    <w:rsid w:val="666B3D6C"/>
    <w:rsid w:val="6670295E"/>
    <w:rsid w:val="66756CCD"/>
    <w:rsid w:val="66770C98"/>
    <w:rsid w:val="66790E11"/>
    <w:rsid w:val="667C4500"/>
    <w:rsid w:val="66807B4C"/>
    <w:rsid w:val="66847797"/>
    <w:rsid w:val="66895739"/>
    <w:rsid w:val="668C4743"/>
    <w:rsid w:val="669355E9"/>
    <w:rsid w:val="66A17AC3"/>
    <w:rsid w:val="66A66DBE"/>
    <w:rsid w:val="66B0201E"/>
    <w:rsid w:val="66B46B69"/>
    <w:rsid w:val="66BC2B4E"/>
    <w:rsid w:val="66D6776C"/>
    <w:rsid w:val="66D80B48"/>
    <w:rsid w:val="66DC6D4D"/>
    <w:rsid w:val="66DF6DA8"/>
    <w:rsid w:val="66E71979"/>
    <w:rsid w:val="66E8749F"/>
    <w:rsid w:val="66EC6561"/>
    <w:rsid w:val="66F916AD"/>
    <w:rsid w:val="66F95AE4"/>
    <w:rsid w:val="67031C9F"/>
    <w:rsid w:val="670544F5"/>
    <w:rsid w:val="670C7632"/>
    <w:rsid w:val="671464E6"/>
    <w:rsid w:val="671F633C"/>
    <w:rsid w:val="67236729"/>
    <w:rsid w:val="67264120"/>
    <w:rsid w:val="672901E4"/>
    <w:rsid w:val="67303843"/>
    <w:rsid w:val="673821D5"/>
    <w:rsid w:val="6759039D"/>
    <w:rsid w:val="675D32C8"/>
    <w:rsid w:val="67696832"/>
    <w:rsid w:val="676B08FB"/>
    <w:rsid w:val="67717495"/>
    <w:rsid w:val="677D6213"/>
    <w:rsid w:val="67814A7A"/>
    <w:rsid w:val="678B49FB"/>
    <w:rsid w:val="67966EFB"/>
    <w:rsid w:val="679B2764"/>
    <w:rsid w:val="67A1421E"/>
    <w:rsid w:val="67A92D59"/>
    <w:rsid w:val="67AE20EA"/>
    <w:rsid w:val="67BA708E"/>
    <w:rsid w:val="67C223E6"/>
    <w:rsid w:val="67C707EA"/>
    <w:rsid w:val="67C737D2"/>
    <w:rsid w:val="67CE2B39"/>
    <w:rsid w:val="67D57A24"/>
    <w:rsid w:val="67DA14DE"/>
    <w:rsid w:val="67F31BDB"/>
    <w:rsid w:val="67F65BEC"/>
    <w:rsid w:val="67F81964"/>
    <w:rsid w:val="680577D0"/>
    <w:rsid w:val="68182006"/>
    <w:rsid w:val="6826100E"/>
    <w:rsid w:val="683C3F47"/>
    <w:rsid w:val="6841330B"/>
    <w:rsid w:val="684619C5"/>
    <w:rsid w:val="684626D0"/>
    <w:rsid w:val="68474093"/>
    <w:rsid w:val="684D1CB0"/>
    <w:rsid w:val="68555008"/>
    <w:rsid w:val="68570D81"/>
    <w:rsid w:val="686F60CA"/>
    <w:rsid w:val="68700CAB"/>
    <w:rsid w:val="687C4343"/>
    <w:rsid w:val="687D5F11"/>
    <w:rsid w:val="68803790"/>
    <w:rsid w:val="688D02FE"/>
    <w:rsid w:val="688F501A"/>
    <w:rsid w:val="68902810"/>
    <w:rsid w:val="689509EB"/>
    <w:rsid w:val="68975621"/>
    <w:rsid w:val="689F3651"/>
    <w:rsid w:val="68A31859"/>
    <w:rsid w:val="68AE66F7"/>
    <w:rsid w:val="68AF4A17"/>
    <w:rsid w:val="68B2242E"/>
    <w:rsid w:val="68B735CD"/>
    <w:rsid w:val="68C63810"/>
    <w:rsid w:val="68C87588"/>
    <w:rsid w:val="68D071C8"/>
    <w:rsid w:val="68D128E1"/>
    <w:rsid w:val="68D13BC4"/>
    <w:rsid w:val="68EE5AE5"/>
    <w:rsid w:val="68F465CF"/>
    <w:rsid w:val="68F70501"/>
    <w:rsid w:val="68FC5484"/>
    <w:rsid w:val="69006D22"/>
    <w:rsid w:val="690F7959"/>
    <w:rsid w:val="69166546"/>
    <w:rsid w:val="691B590A"/>
    <w:rsid w:val="691C44D8"/>
    <w:rsid w:val="691E26F1"/>
    <w:rsid w:val="69313380"/>
    <w:rsid w:val="693B7D5A"/>
    <w:rsid w:val="694110E9"/>
    <w:rsid w:val="694766FF"/>
    <w:rsid w:val="694A2693"/>
    <w:rsid w:val="6952212C"/>
    <w:rsid w:val="6955307C"/>
    <w:rsid w:val="695D5F23"/>
    <w:rsid w:val="69621C2F"/>
    <w:rsid w:val="69642D89"/>
    <w:rsid w:val="69717C20"/>
    <w:rsid w:val="69866D21"/>
    <w:rsid w:val="698A2A90"/>
    <w:rsid w:val="698C6300"/>
    <w:rsid w:val="698F62F8"/>
    <w:rsid w:val="699E2F5F"/>
    <w:rsid w:val="699E3BA0"/>
    <w:rsid w:val="699F4BE2"/>
    <w:rsid w:val="69A017CF"/>
    <w:rsid w:val="69A43F48"/>
    <w:rsid w:val="69AA4EE0"/>
    <w:rsid w:val="69AC0C58"/>
    <w:rsid w:val="69AE1681"/>
    <w:rsid w:val="69C016A8"/>
    <w:rsid w:val="69C75A92"/>
    <w:rsid w:val="69CB7928"/>
    <w:rsid w:val="69D501AF"/>
    <w:rsid w:val="69D71B67"/>
    <w:rsid w:val="69DA57C5"/>
    <w:rsid w:val="69E2467A"/>
    <w:rsid w:val="69EB57B2"/>
    <w:rsid w:val="69F215E3"/>
    <w:rsid w:val="69FD7706"/>
    <w:rsid w:val="6A061878"/>
    <w:rsid w:val="6A097E59"/>
    <w:rsid w:val="6A132B6C"/>
    <w:rsid w:val="6A142C78"/>
    <w:rsid w:val="6A276CCD"/>
    <w:rsid w:val="6A2B4273"/>
    <w:rsid w:val="6A2F5820"/>
    <w:rsid w:val="6A3550F2"/>
    <w:rsid w:val="6A3A0392"/>
    <w:rsid w:val="6A3A44B6"/>
    <w:rsid w:val="6A3E7422"/>
    <w:rsid w:val="6A3F387A"/>
    <w:rsid w:val="6A4964A7"/>
    <w:rsid w:val="6A4A4BC4"/>
    <w:rsid w:val="6A4B221F"/>
    <w:rsid w:val="6A582B8E"/>
    <w:rsid w:val="6A5F1048"/>
    <w:rsid w:val="6A6D63FC"/>
    <w:rsid w:val="6A7259FE"/>
    <w:rsid w:val="6A7712B7"/>
    <w:rsid w:val="6A7A6FA8"/>
    <w:rsid w:val="6A7E25F5"/>
    <w:rsid w:val="6A8B4D12"/>
    <w:rsid w:val="6A95793E"/>
    <w:rsid w:val="6A9B0972"/>
    <w:rsid w:val="6A9E2C97"/>
    <w:rsid w:val="6A9E67F3"/>
    <w:rsid w:val="6AA33812"/>
    <w:rsid w:val="6AA61B4B"/>
    <w:rsid w:val="6AA638F9"/>
    <w:rsid w:val="6AA656A7"/>
    <w:rsid w:val="6AA933EA"/>
    <w:rsid w:val="6AB61A9E"/>
    <w:rsid w:val="6AB853DB"/>
    <w:rsid w:val="6ABD1915"/>
    <w:rsid w:val="6AC22D38"/>
    <w:rsid w:val="6AC91BB4"/>
    <w:rsid w:val="6AD634AC"/>
    <w:rsid w:val="6ADA35A3"/>
    <w:rsid w:val="6ADA504D"/>
    <w:rsid w:val="6ADE12E5"/>
    <w:rsid w:val="6AE368FC"/>
    <w:rsid w:val="6AE8641C"/>
    <w:rsid w:val="6AFA396F"/>
    <w:rsid w:val="6AFA3983"/>
    <w:rsid w:val="6B014FD4"/>
    <w:rsid w:val="6B056872"/>
    <w:rsid w:val="6B0746E2"/>
    <w:rsid w:val="6B0B7C00"/>
    <w:rsid w:val="6B0F38DC"/>
    <w:rsid w:val="6B131EAE"/>
    <w:rsid w:val="6B1C3BBC"/>
    <w:rsid w:val="6B2018FE"/>
    <w:rsid w:val="6B2A60B4"/>
    <w:rsid w:val="6B361121"/>
    <w:rsid w:val="6B3B2294"/>
    <w:rsid w:val="6B4612E6"/>
    <w:rsid w:val="6B4D1FC7"/>
    <w:rsid w:val="6B645294"/>
    <w:rsid w:val="6B6932A5"/>
    <w:rsid w:val="6B762016"/>
    <w:rsid w:val="6B7633D5"/>
    <w:rsid w:val="6B7D0AFE"/>
    <w:rsid w:val="6B8249E2"/>
    <w:rsid w:val="6B827EC3"/>
    <w:rsid w:val="6B8B348A"/>
    <w:rsid w:val="6B910106"/>
    <w:rsid w:val="6B924226"/>
    <w:rsid w:val="6B9D2F4E"/>
    <w:rsid w:val="6B9D4684"/>
    <w:rsid w:val="6B9E1D0B"/>
    <w:rsid w:val="6B9F6CC6"/>
    <w:rsid w:val="6BAA566B"/>
    <w:rsid w:val="6BAE0CB8"/>
    <w:rsid w:val="6BB40298"/>
    <w:rsid w:val="6BB64010"/>
    <w:rsid w:val="6BC06C3D"/>
    <w:rsid w:val="6BCA714F"/>
    <w:rsid w:val="6BCC3834"/>
    <w:rsid w:val="6BCE3108"/>
    <w:rsid w:val="6BDB6EAB"/>
    <w:rsid w:val="6BDC37FC"/>
    <w:rsid w:val="6BDD334B"/>
    <w:rsid w:val="6BE741CA"/>
    <w:rsid w:val="6BFA214F"/>
    <w:rsid w:val="6BFA3EFD"/>
    <w:rsid w:val="6BFB10F5"/>
    <w:rsid w:val="6BFB5EC7"/>
    <w:rsid w:val="6BFC4FD2"/>
    <w:rsid w:val="6BFF1513"/>
    <w:rsid w:val="6C027260"/>
    <w:rsid w:val="6C08444E"/>
    <w:rsid w:val="6C092392"/>
    <w:rsid w:val="6C1239B6"/>
    <w:rsid w:val="6C152AE5"/>
    <w:rsid w:val="6C1A00FB"/>
    <w:rsid w:val="6C1D7BEB"/>
    <w:rsid w:val="6C2B2308"/>
    <w:rsid w:val="6C3710E8"/>
    <w:rsid w:val="6C3867D3"/>
    <w:rsid w:val="6C4570DD"/>
    <w:rsid w:val="6C474C68"/>
    <w:rsid w:val="6C4B4758"/>
    <w:rsid w:val="6C4D6722"/>
    <w:rsid w:val="6C557385"/>
    <w:rsid w:val="6C57134F"/>
    <w:rsid w:val="6C5C5F78"/>
    <w:rsid w:val="6C5E4545"/>
    <w:rsid w:val="6C5F705A"/>
    <w:rsid w:val="6C6039ED"/>
    <w:rsid w:val="6C690DB3"/>
    <w:rsid w:val="6C693A15"/>
    <w:rsid w:val="6C6A5166"/>
    <w:rsid w:val="6C7C7008"/>
    <w:rsid w:val="6C81017A"/>
    <w:rsid w:val="6C841A18"/>
    <w:rsid w:val="6C88775B"/>
    <w:rsid w:val="6C89388F"/>
    <w:rsid w:val="6C8E5480"/>
    <w:rsid w:val="6CA83959"/>
    <w:rsid w:val="6CBB4517"/>
    <w:rsid w:val="6CC26721"/>
    <w:rsid w:val="6CC62031"/>
    <w:rsid w:val="6CDA049F"/>
    <w:rsid w:val="6CDB1F80"/>
    <w:rsid w:val="6CE60925"/>
    <w:rsid w:val="6CF21078"/>
    <w:rsid w:val="6CF7668E"/>
    <w:rsid w:val="6CFF5543"/>
    <w:rsid w:val="6D01750D"/>
    <w:rsid w:val="6D036DE1"/>
    <w:rsid w:val="6D0668D1"/>
    <w:rsid w:val="6D1841D8"/>
    <w:rsid w:val="6D2356D5"/>
    <w:rsid w:val="6D286848"/>
    <w:rsid w:val="6D2F165C"/>
    <w:rsid w:val="6D392803"/>
    <w:rsid w:val="6D486AFE"/>
    <w:rsid w:val="6D524125"/>
    <w:rsid w:val="6D594C53"/>
    <w:rsid w:val="6D5E670D"/>
    <w:rsid w:val="6D6D0974"/>
    <w:rsid w:val="6D8E3D82"/>
    <w:rsid w:val="6D9E2FAE"/>
    <w:rsid w:val="6DA73C10"/>
    <w:rsid w:val="6DA85D32"/>
    <w:rsid w:val="6DB067FB"/>
    <w:rsid w:val="6DB427D1"/>
    <w:rsid w:val="6DB85E1E"/>
    <w:rsid w:val="6DBB67BA"/>
    <w:rsid w:val="6DBE278F"/>
    <w:rsid w:val="6DD644F6"/>
    <w:rsid w:val="6DDD5884"/>
    <w:rsid w:val="6DDD6C31"/>
    <w:rsid w:val="6DDE33AA"/>
    <w:rsid w:val="6DE939A3"/>
    <w:rsid w:val="6DEA1B8F"/>
    <w:rsid w:val="6DF332FA"/>
    <w:rsid w:val="6DF64B98"/>
    <w:rsid w:val="6E0C7F17"/>
    <w:rsid w:val="6E1C6538"/>
    <w:rsid w:val="6E1D0376"/>
    <w:rsid w:val="6E315BD0"/>
    <w:rsid w:val="6E31797E"/>
    <w:rsid w:val="6E3F1E2C"/>
    <w:rsid w:val="6E421B8B"/>
    <w:rsid w:val="6E4476B1"/>
    <w:rsid w:val="6E473465"/>
    <w:rsid w:val="6E4753F3"/>
    <w:rsid w:val="6E4E0530"/>
    <w:rsid w:val="6E4F50CF"/>
    <w:rsid w:val="6E5B49FB"/>
    <w:rsid w:val="6E621798"/>
    <w:rsid w:val="6E641B01"/>
    <w:rsid w:val="6E6C4E5A"/>
    <w:rsid w:val="6E6F6B0F"/>
    <w:rsid w:val="6E75403A"/>
    <w:rsid w:val="6E7A30D3"/>
    <w:rsid w:val="6E7C32EF"/>
    <w:rsid w:val="6E820564"/>
    <w:rsid w:val="6E891568"/>
    <w:rsid w:val="6E91041D"/>
    <w:rsid w:val="6E95615F"/>
    <w:rsid w:val="6E9C129B"/>
    <w:rsid w:val="6E9D3265"/>
    <w:rsid w:val="6EB56801"/>
    <w:rsid w:val="6EC32CCC"/>
    <w:rsid w:val="6ECB7DD2"/>
    <w:rsid w:val="6ECF5BB8"/>
    <w:rsid w:val="6ED053E9"/>
    <w:rsid w:val="6ED07197"/>
    <w:rsid w:val="6ED15787"/>
    <w:rsid w:val="6ED76116"/>
    <w:rsid w:val="6EE64C0C"/>
    <w:rsid w:val="6EE82732"/>
    <w:rsid w:val="6EF03395"/>
    <w:rsid w:val="6EF2710D"/>
    <w:rsid w:val="6EFD5AB2"/>
    <w:rsid w:val="6EFF5A98"/>
    <w:rsid w:val="6F045092"/>
    <w:rsid w:val="6F0B01CF"/>
    <w:rsid w:val="6F0B0FA1"/>
    <w:rsid w:val="6F0E30C1"/>
    <w:rsid w:val="6F132304"/>
    <w:rsid w:val="6F143527"/>
    <w:rsid w:val="6F280D81"/>
    <w:rsid w:val="6F2A2D4B"/>
    <w:rsid w:val="6F305E87"/>
    <w:rsid w:val="6F35524C"/>
    <w:rsid w:val="6F3B6D06"/>
    <w:rsid w:val="6F3D7592"/>
    <w:rsid w:val="6F4332EB"/>
    <w:rsid w:val="6F437BA9"/>
    <w:rsid w:val="6F451933"/>
    <w:rsid w:val="6F4B4A6F"/>
    <w:rsid w:val="6F5778B8"/>
    <w:rsid w:val="6F581154"/>
    <w:rsid w:val="6F59576B"/>
    <w:rsid w:val="6F5D0AEB"/>
    <w:rsid w:val="6F5E0C47"/>
    <w:rsid w:val="6F616041"/>
    <w:rsid w:val="6F6571F4"/>
    <w:rsid w:val="6F674B4C"/>
    <w:rsid w:val="6F7264A0"/>
    <w:rsid w:val="6F783638"/>
    <w:rsid w:val="6F810491"/>
    <w:rsid w:val="6F812E5D"/>
    <w:rsid w:val="6F8F0E00"/>
    <w:rsid w:val="6F9C52CB"/>
    <w:rsid w:val="6FB72105"/>
    <w:rsid w:val="6FCA2719"/>
    <w:rsid w:val="6FCA5DD3"/>
    <w:rsid w:val="6FE27182"/>
    <w:rsid w:val="6FE50A20"/>
    <w:rsid w:val="6FE74798"/>
    <w:rsid w:val="6FEA24DA"/>
    <w:rsid w:val="6FED00EC"/>
    <w:rsid w:val="6FF03854"/>
    <w:rsid w:val="6FF05279"/>
    <w:rsid w:val="6FF40698"/>
    <w:rsid w:val="6FFD045F"/>
    <w:rsid w:val="700D4769"/>
    <w:rsid w:val="700D7F77"/>
    <w:rsid w:val="7019691C"/>
    <w:rsid w:val="70294DB1"/>
    <w:rsid w:val="702A0B29"/>
    <w:rsid w:val="702C20C5"/>
    <w:rsid w:val="702E0619"/>
    <w:rsid w:val="702E7600"/>
    <w:rsid w:val="703227CD"/>
    <w:rsid w:val="703674CE"/>
    <w:rsid w:val="70436AA7"/>
    <w:rsid w:val="70480FAF"/>
    <w:rsid w:val="704F1A77"/>
    <w:rsid w:val="70587444"/>
    <w:rsid w:val="705B0CE2"/>
    <w:rsid w:val="70657DB3"/>
    <w:rsid w:val="70686911"/>
    <w:rsid w:val="706D743E"/>
    <w:rsid w:val="70710506"/>
    <w:rsid w:val="708446DD"/>
    <w:rsid w:val="70891CF3"/>
    <w:rsid w:val="708F6BDE"/>
    <w:rsid w:val="709264E8"/>
    <w:rsid w:val="70974410"/>
    <w:rsid w:val="709B32E7"/>
    <w:rsid w:val="709C1A26"/>
    <w:rsid w:val="70A1528F"/>
    <w:rsid w:val="70A408C8"/>
    <w:rsid w:val="70B07280"/>
    <w:rsid w:val="70B1389B"/>
    <w:rsid w:val="70B43DB0"/>
    <w:rsid w:val="70B623BC"/>
    <w:rsid w:val="70B8527E"/>
    <w:rsid w:val="70C52212"/>
    <w:rsid w:val="70C9135E"/>
    <w:rsid w:val="70D171F6"/>
    <w:rsid w:val="70D25448"/>
    <w:rsid w:val="70D90827"/>
    <w:rsid w:val="70DC1E23"/>
    <w:rsid w:val="70E61250"/>
    <w:rsid w:val="70E76A1A"/>
    <w:rsid w:val="70E84C6C"/>
    <w:rsid w:val="70F56C0B"/>
    <w:rsid w:val="70FA04FB"/>
    <w:rsid w:val="70FD7FEB"/>
    <w:rsid w:val="71136DEE"/>
    <w:rsid w:val="71193077"/>
    <w:rsid w:val="711C2B67"/>
    <w:rsid w:val="712166C8"/>
    <w:rsid w:val="71257C6E"/>
    <w:rsid w:val="712967A0"/>
    <w:rsid w:val="712D08D1"/>
    <w:rsid w:val="712E4649"/>
    <w:rsid w:val="7130216F"/>
    <w:rsid w:val="7132242F"/>
    <w:rsid w:val="714F1A7E"/>
    <w:rsid w:val="71570879"/>
    <w:rsid w:val="71575B54"/>
    <w:rsid w:val="715E4F2E"/>
    <w:rsid w:val="716D33C3"/>
    <w:rsid w:val="71706E29"/>
    <w:rsid w:val="71771B4C"/>
    <w:rsid w:val="71777D9E"/>
    <w:rsid w:val="7178410C"/>
    <w:rsid w:val="718359DA"/>
    <w:rsid w:val="718F3339"/>
    <w:rsid w:val="719C7804"/>
    <w:rsid w:val="719E7958"/>
    <w:rsid w:val="71A14E1B"/>
    <w:rsid w:val="71A32941"/>
    <w:rsid w:val="71A5490B"/>
    <w:rsid w:val="71A8280C"/>
    <w:rsid w:val="71A879DF"/>
    <w:rsid w:val="71AC756E"/>
    <w:rsid w:val="71B678FE"/>
    <w:rsid w:val="71B748C9"/>
    <w:rsid w:val="71B86AF7"/>
    <w:rsid w:val="71BE59CD"/>
    <w:rsid w:val="71C01745"/>
    <w:rsid w:val="71C1726B"/>
    <w:rsid w:val="71C31235"/>
    <w:rsid w:val="71C33899"/>
    <w:rsid w:val="71CD20B4"/>
    <w:rsid w:val="71DF320F"/>
    <w:rsid w:val="71F65166"/>
    <w:rsid w:val="71FB7D0A"/>
    <w:rsid w:val="72042BEE"/>
    <w:rsid w:val="72161365"/>
    <w:rsid w:val="721E646B"/>
    <w:rsid w:val="72212790"/>
    <w:rsid w:val="72225DD5"/>
    <w:rsid w:val="722F29B2"/>
    <w:rsid w:val="72340183"/>
    <w:rsid w:val="723E42D0"/>
    <w:rsid w:val="7245643F"/>
    <w:rsid w:val="72475FCF"/>
    <w:rsid w:val="724C4D86"/>
    <w:rsid w:val="7251239D"/>
    <w:rsid w:val="72541E8D"/>
    <w:rsid w:val="725B76BF"/>
    <w:rsid w:val="725D6F93"/>
    <w:rsid w:val="726E62F8"/>
    <w:rsid w:val="7272280B"/>
    <w:rsid w:val="727644F9"/>
    <w:rsid w:val="728E35F1"/>
    <w:rsid w:val="728E539F"/>
    <w:rsid w:val="729329B5"/>
    <w:rsid w:val="729F75AC"/>
    <w:rsid w:val="72A26DAE"/>
    <w:rsid w:val="72A72905"/>
    <w:rsid w:val="72A73FD5"/>
    <w:rsid w:val="72AB5F51"/>
    <w:rsid w:val="72AE3C93"/>
    <w:rsid w:val="72B166D3"/>
    <w:rsid w:val="72B666A4"/>
    <w:rsid w:val="72C15774"/>
    <w:rsid w:val="72C514AF"/>
    <w:rsid w:val="72C94629"/>
    <w:rsid w:val="72CB4D80"/>
    <w:rsid w:val="72D54D7C"/>
    <w:rsid w:val="72DA6836"/>
    <w:rsid w:val="72E256EB"/>
    <w:rsid w:val="72E27257"/>
    <w:rsid w:val="72E65574"/>
    <w:rsid w:val="72FB055A"/>
    <w:rsid w:val="73012015"/>
    <w:rsid w:val="73125FD0"/>
    <w:rsid w:val="73146EFC"/>
    <w:rsid w:val="731C0BFD"/>
    <w:rsid w:val="73243F55"/>
    <w:rsid w:val="732B7092"/>
    <w:rsid w:val="73390240"/>
    <w:rsid w:val="73390AFA"/>
    <w:rsid w:val="734939BC"/>
    <w:rsid w:val="7349576A"/>
    <w:rsid w:val="73577E87"/>
    <w:rsid w:val="735A7977"/>
    <w:rsid w:val="735D2FC3"/>
    <w:rsid w:val="735E6095"/>
    <w:rsid w:val="735F4F8D"/>
    <w:rsid w:val="736507F6"/>
    <w:rsid w:val="73685FDF"/>
    <w:rsid w:val="736D1458"/>
    <w:rsid w:val="736F3422"/>
    <w:rsid w:val="737904C3"/>
    <w:rsid w:val="7386076C"/>
    <w:rsid w:val="739433FC"/>
    <w:rsid w:val="73970283"/>
    <w:rsid w:val="73A67CC0"/>
    <w:rsid w:val="73AF381F"/>
    <w:rsid w:val="73BA21C4"/>
    <w:rsid w:val="73BF2B9A"/>
    <w:rsid w:val="73CC2623"/>
    <w:rsid w:val="73D239B1"/>
    <w:rsid w:val="73D32A24"/>
    <w:rsid w:val="73D56FFD"/>
    <w:rsid w:val="73DE3EF3"/>
    <w:rsid w:val="73E5161E"/>
    <w:rsid w:val="73E770D4"/>
    <w:rsid w:val="73E829DD"/>
    <w:rsid w:val="73E831D5"/>
    <w:rsid w:val="73E84F83"/>
    <w:rsid w:val="73EF3FD2"/>
    <w:rsid w:val="73EF4563"/>
    <w:rsid w:val="73FC45C9"/>
    <w:rsid w:val="74091C9C"/>
    <w:rsid w:val="740A6CA7"/>
    <w:rsid w:val="740E2E69"/>
    <w:rsid w:val="742F56C5"/>
    <w:rsid w:val="74411A5C"/>
    <w:rsid w:val="744441DC"/>
    <w:rsid w:val="74477EFB"/>
    <w:rsid w:val="74496623"/>
    <w:rsid w:val="744C72C0"/>
    <w:rsid w:val="74532667"/>
    <w:rsid w:val="745F3497"/>
    <w:rsid w:val="747E4CD7"/>
    <w:rsid w:val="74815C24"/>
    <w:rsid w:val="748A428C"/>
    <w:rsid w:val="748C3B60"/>
    <w:rsid w:val="749B2E29"/>
    <w:rsid w:val="749D375E"/>
    <w:rsid w:val="749F7D37"/>
    <w:rsid w:val="74A215D5"/>
    <w:rsid w:val="74A52E74"/>
    <w:rsid w:val="74B3733F"/>
    <w:rsid w:val="74B86703"/>
    <w:rsid w:val="74C96E58"/>
    <w:rsid w:val="74CC76AA"/>
    <w:rsid w:val="74CE4179"/>
    <w:rsid w:val="74D53759"/>
    <w:rsid w:val="74D6302D"/>
    <w:rsid w:val="74E92D60"/>
    <w:rsid w:val="74FA6D1C"/>
    <w:rsid w:val="750641BE"/>
    <w:rsid w:val="750F3BBB"/>
    <w:rsid w:val="75295094"/>
    <w:rsid w:val="752E10BB"/>
    <w:rsid w:val="752E2E69"/>
    <w:rsid w:val="7530273D"/>
    <w:rsid w:val="75375520"/>
    <w:rsid w:val="753A35BC"/>
    <w:rsid w:val="75433C5B"/>
    <w:rsid w:val="75510906"/>
    <w:rsid w:val="755C1881"/>
    <w:rsid w:val="75630D65"/>
    <w:rsid w:val="756920F3"/>
    <w:rsid w:val="75703F6C"/>
    <w:rsid w:val="75736ACE"/>
    <w:rsid w:val="758A79D4"/>
    <w:rsid w:val="75A67151"/>
    <w:rsid w:val="75AF2FF9"/>
    <w:rsid w:val="75B23A9A"/>
    <w:rsid w:val="75B241D3"/>
    <w:rsid w:val="75B4336E"/>
    <w:rsid w:val="75B67D83"/>
    <w:rsid w:val="75BA64AB"/>
    <w:rsid w:val="75BF1D13"/>
    <w:rsid w:val="75BF7F65"/>
    <w:rsid w:val="75C94940"/>
    <w:rsid w:val="75D6749C"/>
    <w:rsid w:val="75DF0C59"/>
    <w:rsid w:val="75E4177A"/>
    <w:rsid w:val="75E874BC"/>
    <w:rsid w:val="75F21EA3"/>
    <w:rsid w:val="75F43CC2"/>
    <w:rsid w:val="75F61BD9"/>
    <w:rsid w:val="75FF5DFC"/>
    <w:rsid w:val="760A106F"/>
    <w:rsid w:val="760F4A49"/>
    <w:rsid w:val="7621477C"/>
    <w:rsid w:val="76226C46"/>
    <w:rsid w:val="762E249F"/>
    <w:rsid w:val="76303976"/>
    <w:rsid w:val="7640043B"/>
    <w:rsid w:val="76451026"/>
    <w:rsid w:val="76560FE6"/>
    <w:rsid w:val="76587A02"/>
    <w:rsid w:val="765D6045"/>
    <w:rsid w:val="766B580D"/>
    <w:rsid w:val="766D176F"/>
    <w:rsid w:val="76701819"/>
    <w:rsid w:val="767E397C"/>
    <w:rsid w:val="76860BD5"/>
    <w:rsid w:val="76A5715B"/>
    <w:rsid w:val="76B850E0"/>
    <w:rsid w:val="76D17402"/>
    <w:rsid w:val="76D8308D"/>
    <w:rsid w:val="76E9529A"/>
    <w:rsid w:val="76FD6F97"/>
    <w:rsid w:val="77020109"/>
    <w:rsid w:val="77065E4C"/>
    <w:rsid w:val="77132317"/>
    <w:rsid w:val="771E3797"/>
    <w:rsid w:val="772D0538"/>
    <w:rsid w:val="773329B9"/>
    <w:rsid w:val="773521BD"/>
    <w:rsid w:val="77364257"/>
    <w:rsid w:val="7736747F"/>
    <w:rsid w:val="77536BB7"/>
    <w:rsid w:val="77562203"/>
    <w:rsid w:val="775A1CF3"/>
    <w:rsid w:val="775C2A06"/>
    <w:rsid w:val="776C07F4"/>
    <w:rsid w:val="777C24C9"/>
    <w:rsid w:val="777C610E"/>
    <w:rsid w:val="77844004"/>
    <w:rsid w:val="778D20C9"/>
    <w:rsid w:val="7798281C"/>
    <w:rsid w:val="77A2369A"/>
    <w:rsid w:val="77B21E06"/>
    <w:rsid w:val="77B35021"/>
    <w:rsid w:val="77B71C67"/>
    <w:rsid w:val="77C12B7B"/>
    <w:rsid w:val="77C27899"/>
    <w:rsid w:val="77C95C29"/>
    <w:rsid w:val="77D21829"/>
    <w:rsid w:val="77D311C4"/>
    <w:rsid w:val="77D6147B"/>
    <w:rsid w:val="77DA4BE2"/>
    <w:rsid w:val="77F3098E"/>
    <w:rsid w:val="77FA00AB"/>
    <w:rsid w:val="780659D7"/>
    <w:rsid w:val="780B682B"/>
    <w:rsid w:val="78106856"/>
    <w:rsid w:val="781520BE"/>
    <w:rsid w:val="78153E6C"/>
    <w:rsid w:val="78252301"/>
    <w:rsid w:val="78306EF8"/>
    <w:rsid w:val="783B7D77"/>
    <w:rsid w:val="7840538D"/>
    <w:rsid w:val="78474C8B"/>
    <w:rsid w:val="78477606"/>
    <w:rsid w:val="78636DB6"/>
    <w:rsid w:val="786B1CDE"/>
    <w:rsid w:val="78760DAF"/>
    <w:rsid w:val="787D503A"/>
    <w:rsid w:val="787E1AC2"/>
    <w:rsid w:val="787E5EB6"/>
    <w:rsid w:val="78801C2E"/>
    <w:rsid w:val="7880578A"/>
    <w:rsid w:val="78843793"/>
    <w:rsid w:val="78886D34"/>
    <w:rsid w:val="788C2381"/>
    <w:rsid w:val="789631FF"/>
    <w:rsid w:val="78A96788"/>
    <w:rsid w:val="78B039E4"/>
    <w:rsid w:val="78B74F24"/>
    <w:rsid w:val="78CD4713"/>
    <w:rsid w:val="78CE1884"/>
    <w:rsid w:val="78D14237"/>
    <w:rsid w:val="78D21D5D"/>
    <w:rsid w:val="78DD0E2E"/>
    <w:rsid w:val="78F525C8"/>
    <w:rsid w:val="78FD367E"/>
    <w:rsid w:val="79030169"/>
    <w:rsid w:val="7904460D"/>
    <w:rsid w:val="790F6B0E"/>
    <w:rsid w:val="790F7210"/>
    <w:rsid w:val="79102FB2"/>
    <w:rsid w:val="791361D8"/>
    <w:rsid w:val="791505C8"/>
    <w:rsid w:val="7919798C"/>
    <w:rsid w:val="792C3B64"/>
    <w:rsid w:val="794F64F8"/>
    <w:rsid w:val="79507E51"/>
    <w:rsid w:val="796419BD"/>
    <w:rsid w:val="796926C2"/>
    <w:rsid w:val="79703A50"/>
    <w:rsid w:val="79792E52"/>
    <w:rsid w:val="797F3C93"/>
    <w:rsid w:val="79862C7E"/>
    <w:rsid w:val="79894148"/>
    <w:rsid w:val="79895A6B"/>
    <w:rsid w:val="799D05BD"/>
    <w:rsid w:val="799E5223"/>
    <w:rsid w:val="79A41DB2"/>
    <w:rsid w:val="79A951B4"/>
    <w:rsid w:val="79AC25AE"/>
    <w:rsid w:val="79AE0143"/>
    <w:rsid w:val="79AE27CB"/>
    <w:rsid w:val="79B3393D"/>
    <w:rsid w:val="79BC6C95"/>
    <w:rsid w:val="79C63670"/>
    <w:rsid w:val="79C67B14"/>
    <w:rsid w:val="79DC2497"/>
    <w:rsid w:val="79E955B1"/>
    <w:rsid w:val="79EB1329"/>
    <w:rsid w:val="79F24465"/>
    <w:rsid w:val="79F7042B"/>
    <w:rsid w:val="79FE72AE"/>
    <w:rsid w:val="7A0423EA"/>
    <w:rsid w:val="7A07078A"/>
    <w:rsid w:val="7A0F14BB"/>
    <w:rsid w:val="7A1F0FD2"/>
    <w:rsid w:val="7A262361"/>
    <w:rsid w:val="7A2F3231"/>
    <w:rsid w:val="7A304F8E"/>
    <w:rsid w:val="7A3A5E0C"/>
    <w:rsid w:val="7A3C1B84"/>
    <w:rsid w:val="7A4245AF"/>
    <w:rsid w:val="7A4B0019"/>
    <w:rsid w:val="7A4F7B0A"/>
    <w:rsid w:val="7A5451A9"/>
    <w:rsid w:val="7A555E1F"/>
    <w:rsid w:val="7A5C6FD7"/>
    <w:rsid w:val="7A7833F8"/>
    <w:rsid w:val="7A794B87"/>
    <w:rsid w:val="7A7A0350"/>
    <w:rsid w:val="7A807CC3"/>
    <w:rsid w:val="7A8F5254"/>
    <w:rsid w:val="7A925C48"/>
    <w:rsid w:val="7A9D336B"/>
    <w:rsid w:val="7AA93F21"/>
    <w:rsid w:val="7AAA7126"/>
    <w:rsid w:val="7AAB45D4"/>
    <w:rsid w:val="7AAB75D1"/>
    <w:rsid w:val="7AC04563"/>
    <w:rsid w:val="7ACE018C"/>
    <w:rsid w:val="7ADE2C3C"/>
    <w:rsid w:val="7AE2097E"/>
    <w:rsid w:val="7AE745D0"/>
    <w:rsid w:val="7AEA5A84"/>
    <w:rsid w:val="7AF4420D"/>
    <w:rsid w:val="7AF7054B"/>
    <w:rsid w:val="7B0272CA"/>
    <w:rsid w:val="7B0304C7"/>
    <w:rsid w:val="7B0E1773"/>
    <w:rsid w:val="7B116B6D"/>
    <w:rsid w:val="7B153762"/>
    <w:rsid w:val="7B203254"/>
    <w:rsid w:val="7B272834"/>
    <w:rsid w:val="7B292109"/>
    <w:rsid w:val="7B295C5A"/>
    <w:rsid w:val="7B3D6273"/>
    <w:rsid w:val="7B3D7962"/>
    <w:rsid w:val="7B3E75BC"/>
    <w:rsid w:val="7B415828"/>
    <w:rsid w:val="7B446F42"/>
    <w:rsid w:val="7B4E3CD7"/>
    <w:rsid w:val="7B6C46EB"/>
    <w:rsid w:val="7B7E13E9"/>
    <w:rsid w:val="7B811F45"/>
    <w:rsid w:val="7B927F5A"/>
    <w:rsid w:val="7BA577FD"/>
    <w:rsid w:val="7BA7127F"/>
    <w:rsid w:val="7BB70B7C"/>
    <w:rsid w:val="7BB87930"/>
    <w:rsid w:val="7BBA5DEA"/>
    <w:rsid w:val="7BD20122"/>
    <w:rsid w:val="7BD61B65"/>
    <w:rsid w:val="7BD83B2F"/>
    <w:rsid w:val="7BDC0CAF"/>
    <w:rsid w:val="7BDF5FA8"/>
    <w:rsid w:val="7BE67FFA"/>
    <w:rsid w:val="7BEE247D"/>
    <w:rsid w:val="7BF608B2"/>
    <w:rsid w:val="7BFC15CB"/>
    <w:rsid w:val="7BFF3055"/>
    <w:rsid w:val="7BFF6560"/>
    <w:rsid w:val="7C044924"/>
    <w:rsid w:val="7C0A4F8F"/>
    <w:rsid w:val="7C136915"/>
    <w:rsid w:val="7C181978"/>
    <w:rsid w:val="7C1A4147"/>
    <w:rsid w:val="7C250080"/>
    <w:rsid w:val="7C2D79D7"/>
    <w:rsid w:val="7C2E374F"/>
    <w:rsid w:val="7C3074C7"/>
    <w:rsid w:val="7C3111CB"/>
    <w:rsid w:val="7C386C3C"/>
    <w:rsid w:val="7C39281F"/>
    <w:rsid w:val="7C481A33"/>
    <w:rsid w:val="7C5533D1"/>
    <w:rsid w:val="7C594BDF"/>
    <w:rsid w:val="7C5A3C92"/>
    <w:rsid w:val="7C741AA9"/>
    <w:rsid w:val="7C8F243F"/>
    <w:rsid w:val="7C903F64"/>
    <w:rsid w:val="7C943EFA"/>
    <w:rsid w:val="7C975798"/>
    <w:rsid w:val="7C9B7036"/>
    <w:rsid w:val="7C9E2682"/>
    <w:rsid w:val="7CA51C63"/>
    <w:rsid w:val="7CBA4FE2"/>
    <w:rsid w:val="7CBD6E37"/>
    <w:rsid w:val="7CBF7CC6"/>
    <w:rsid w:val="7CCD2F68"/>
    <w:rsid w:val="7CE7760E"/>
    <w:rsid w:val="7CEA58C8"/>
    <w:rsid w:val="7CEF1130"/>
    <w:rsid w:val="7CF30AE5"/>
    <w:rsid w:val="7CF55CBC"/>
    <w:rsid w:val="7CF8206B"/>
    <w:rsid w:val="7CFC1C34"/>
    <w:rsid w:val="7CFE5817"/>
    <w:rsid w:val="7D012C11"/>
    <w:rsid w:val="7D0343B8"/>
    <w:rsid w:val="7D0C583F"/>
    <w:rsid w:val="7D16490F"/>
    <w:rsid w:val="7D180687"/>
    <w:rsid w:val="7D1E6DC9"/>
    <w:rsid w:val="7D28412D"/>
    <w:rsid w:val="7D2C5EE0"/>
    <w:rsid w:val="7D3D00ED"/>
    <w:rsid w:val="7D3D633F"/>
    <w:rsid w:val="7D3E5C13"/>
    <w:rsid w:val="7D433490"/>
    <w:rsid w:val="7D4A0A5C"/>
    <w:rsid w:val="7D524DB3"/>
    <w:rsid w:val="7D5611AF"/>
    <w:rsid w:val="7D5745FC"/>
    <w:rsid w:val="7D592A4D"/>
    <w:rsid w:val="7D831878"/>
    <w:rsid w:val="7D836F10"/>
    <w:rsid w:val="7D861E72"/>
    <w:rsid w:val="7DA533E2"/>
    <w:rsid w:val="7DA77C5D"/>
    <w:rsid w:val="7DAD3EDB"/>
    <w:rsid w:val="7DB14637"/>
    <w:rsid w:val="7DBC3708"/>
    <w:rsid w:val="7DBF4FA6"/>
    <w:rsid w:val="7DC201B0"/>
    <w:rsid w:val="7DC223A1"/>
    <w:rsid w:val="7DD20D11"/>
    <w:rsid w:val="7DE93DD1"/>
    <w:rsid w:val="7DEA2D12"/>
    <w:rsid w:val="7DF13B08"/>
    <w:rsid w:val="7DF376F0"/>
    <w:rsid w:val="7DF44BB8"/>
    <w:rsid w:val="7DF84014"/>
    <w:rsid w:val="7DFD787D"/>
    <w:rsid w:val="7E027D87"/>
    <w:rsid w:val="7E062BD5"/>
    <w:rsid w:val="7E244E09"/>
    <w:rsid w:val="7E355268"/>
    <w:rsid w:val="7E3D5ECB"/>
    <w:rsid w:val="7E464D80"/>
    <w:rsid w:val="7E4D46EA"/>
    <w:rsid w:val="7E4E1E86"/>
    <w:rsid w:val="7E5F5E41"/>
    <w:rsid w:val="7E684D49"/>
    <w:rsid w:val="7E7028F2"/>
    <w:rsid w:val="7E7F4735"/>
    <w:rsid w:val="7E8232A7"/>
    <w:rsid w:val="7E837D82"/>
    <w:rsid w:val="7E8B30DA"/>
    <w:rsid w:val="7E9E7F46"/>
    <w:rsid w:val="7EA877E8"/>
    <w:rsid w:val="7EA92F83"/>
    <w:rsid w:val="7EAD3051"/>
    <w:rsid w:val="7EC97091"/>
    <w:rsid w:val="7ECD724F"/>
    <w:rsid w:val="7ED00AED"/>
    <w:rsid w:val="7EDE320A"/>
    <w:rsid w:val="7EF44B03"/>
    <w:rsid w:val="7EF80591"/>
    <w:rsid w:val="7EFA75D1"/>
    <w:rsid w:val="7F044035"/>
    <w:rsid w:val="7F076C05"/>
    <w:rsid w:val="7F0B3ECA"/>
    <w:rsid w:val="7F144E7E"/>
    <w:rsid w:val="7F185C87"/>
    <w:rsid w:val="7F1C1F84"/>
    <w:rsid w:val="7F250E39"/>
    <w:rsid w:val="7F25401B"/>
    <w:rsid w:val="7F313C82"/>
    <w:rsid w:val="7F370B6C"/>
    <w:rsid w:val="7F37450B"/>
    <w:rsid w:val="7F425B32"/>
    <w:rsid w:val="7F426725"/>
    <w:rsid w:val="7F4831CC"/>
    <w:rsid w:val="7F65392B"/>
    <w:rsid w:val="7F7464D9"/>
    <w:rsid w:val="7F7E679B"/>
    <w:rsid w:val="7F863192"/>
    <w:rsid w:val="7F8A15E4"/>
    <w:rsid w:val="7F8C0EB8"/>
    <w:rsid w:val="7F8E2E82"/>
    <w:rsid w:val="7F947136"/>
    <w:rsid w:val="7F963AE5"/>
    <w:rsid w:val="7F9C164A"/>
    <w:rsid w:val="7FA91A6A"/>
    <w:rsid w:val="7FAF5D50"/>
    <w:rsid w:val="7FB1447E"/>
    <w:rsid w:val="7FB34697"/>
    <w:rsid w:val="7FB65F35"/>
    <w:rsid w:val="7FBB179D"/>
    <w:rsid w:val="7FCE327F"/>
    <w:rsid w:val="7FD234F3"/>
    <w:rsid w:val="7FD34D39"/>
    <w:rsid w:val="7FD766FE"/>
    <w:rsid w:val="7FDA555B"/>
    <w:rsid w:val="7FDF0C42"/>
    <w:rsid w:val="7FDF723A"/>
    <w:rsid w:val="7FEA3E31"/>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djustRightInd w:val="0"/>
      <w:snapToGrid w:val="0"/>
      <w:spacing w:line="600" w:lineRule="exact"/>
      <w:ind w:firstLine="200" w:firstLineChars="200"/>
      <w:jc w:val="both"/>
    </w:pPr>
    <w:rPr>
      <w:rFonts w:ascii="仿宋_GB2312" w:hAnsi="仿宋_GB2312" w:eastAsia="仿宋_GB2312" w:cs="仿宋_GB2312"/>
      <w:sz w:val="32"/>
      <w:szCs w:val="22"/>
      <w:lang w:val="en-US" w:eastAsia="zh-CN" w:bidi="ar-SA"/>
    </w:rPr>
  </w:style>
  <w:style w:type="paragraph" w:styleId="2">
    <w:name w:val="heading 1"/>
    <w:basedOn w:val="1"/>
    <w:next w:val="1"/>
    <w:link w:val="36"/>
    <w:qFormat/>
    <w:uiPriority w:val="0"/>
    <w:pPr>
      <w:outlineLvl w:val="0"/>
    </w:pPr>
    <w:rPr>
      <w:rFonts w:eastAsia="黑体"/>
      <w:kern w:val="44"/>
    </w:rPr>
  </w:style>
  <w:style w:type="paragraph" w:styleId="3">
    <w:name w:val="heading 2"/>
    <w:basedOn w:val="1"/>
    <w:next w:val="1"/>
    <w:link w:val="48"/>
    <w:unhideWhenUsed/>
    <w:qFormat/>
    <w:uiPriority w:val="0"/>
    <w:pPr>
      <w:outlineLvl w:val="1"/>
    </w:pPr>
    <w:rPr>
      <w:rFonts w:ascii="Arial" w:hAnsi="Arial" w:eastAsia="楷体_GB2312"/>
    </w:rPr>
  </w:style>
  <w:style w:type="paragraph" w:styleId="4">
    <w:name w:val="heading 3"/>
    <w:basedOn w:val="1"/>
    <w:next w:val="1"/>
    <w:link w:val="38"/>
    <w:unhideWhenUsed/>
    <w:qFormat/>
    <w:uiPriority w:val="0"/>
    <w:pPr>
      <w:outlineLvl w:val="2"/>
    </w:p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360" w:lineRule="auto"/>
    </w:pPr>
    <w:rPr>
      <w:sz w:val="28"/>
      <w:szCs w:val="24"/>
    </w:rPr>
  </w:style>
  <w:style w:type="paragraph" w:styleId="6">
    <w:name w:val="caption"/>
    <w:next w:val="1"/>
    <w:semiHidden/>
    <w:unhideWhenUsed/>
    <w:qFormat/>
    <w:uiPriority w:val="0"/>
    <w:pPr>
      <w:widowControl w:val="0"/>
      <w:overflowPunct w:val="0"/>
      <w:adjustRightInd w:val="0"/>
      <w:snapToGrid w:val="0"/>
      <w:spacing w:after="160" w:line="600" w:lineRule="exact"/>
      <w:ind w:firstLine="880" w:firstLineChars="200"/>
      <w:jc w:val="both"/>
    </w:pPr>
    <w:rPr>
      <w:rFonts w:ascii="Arial" w:hAnsi="Arial" w:eastAsia="黑体" w:cs="仿宋_GB2312"/>
      <w:szCs w:val="22"/>
      <w:lang w:val="en-US" w:eastAsia="zh-CN" w:bidi="ar-SA"/>
    </w:rPr>
  </w:style>
  <w:style w:type="paragraph" w:styleId="7">
    <w:name w:val="annotation text"/>
    <w:basedOn w:val="1"/>
    <w:link w:val="44"/>
    <w:qFormat/>
    <w:uiPriority w:val="0"/>
    <w:pPr>
      <w:jc w:val="left"/>
    </w:pPr>
  </w:style>
  <w:style w:type="paragraph" w:styleId="8">
    <w:name w:val="Body Text"/>
    <w:basedOn w:val="1"/>
    <w:qFormat/>
    <w:uiPriority w:val="0"/>
    <w:pPr>
      <w:spacing w:after="120"/>
    </w:pPr>
  </w:style>
  <w:style w:type="paragraph" w:styleId="9">
    <w:name w:val="Body Text Indent"/>
    <w:basedOn w:val="1"/>
    <w:next w:val="10"/>
    <w:qFormat/>
    <w:uiPriority w:val="99"/>
    <w:pPr>
      <w:spacing w:after="120"/>
      <w:ind w:left="420" w:leftChars="200"/>
    </w:pPr>
    <w:rPr>
      <w:rFonts w:eastAsia="宋体"/>
      <w:sz w:val="21"/>
    </w:rPr>
  </w:style>
  <w:style w:type="paragraph" w:styleId="10">
    <w:name w:val="Body Text First Indent 2"/>
    <w:basedOn w:val="9"/>
    <w:qFormat/>
    <w:uiPriority w:val="99"/>
    <w:pPr>
      <w:ind w:firstLine="420"/>
    </w:pPr>
  </w:style>
  <w:style w:type="paragraph" w:styleId="11">
    <w:name w:val="Plain Text"/>
    <w:qFormat/>
    <w:uiPriority w:val="0"/>
    <w:pPr>
      <w:widowControl w:val="0"/>
      <w:spacing w:after="160" w:line="278" w:lineRule="auto"/>
      <w:jc w:val="both"/>
    </w:pPr>
    <w:rPr>
      <w:rFonts w:ascii="宋体" w:hAnsi="Courier New" w:eastAsiaTheme="minorEastAsia" w:cstheme="minorBidi"/>
      <w:kern w:val="2"/>
      <w:sz w:val="21"/>
      <w:szCs w:val="24"/>
      <w:lang w:val="en-US" w:eastAsia="zh-CN" w:bidi="ar-SA"/>
    </w:rPr>
  </w:style>
  <w:style w:type="paragraph" w:styleId="12">
    <w:name w:val="toc 8"/>
    <w:basedOn w:val="1"/>
    <w:next w:val="1"/>
    <w:qFormat/>
    <w:uiPriority w:val="0"/>
    <w:pPr>
      <w:ind w:left="2940"/>
    </w:pPr>
  </w:style>
  <w:style w:type="paragraph" w:styleId="13">
    <w:name w:val="footer"/>
    <w:basedOn w:val="1"/>
    <w:link w:val="47"/>
    <w:qFormat/>
    <w:uiPriority w:val="99"/>
    <w:pPr>
      <w:tabs>
        <w:tab w:val="center" w:pos="4153"/>
        <w:tab w:val="right" w:pos="8306"/>
      </w:tabs>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15">
    <w:name w:val="toc 1"/>
    <w:basedOn w:val="1"/>
    <w:next w:val="1"/>
    <w:qFormat/>
    <w:uiPriority w:val="39"/>
  </w:style>
  <w:style w:type="paragraph" w:styleId="16">
    <w:name w:val="footnote text"/>
    <w:basedOn w:val="1"/>
    <w:qFormat/>
    <w:uiPriority w:val="0"/>
    <w:pPr>
      <w:jc w:val="left"/>
    </w:pPr>
    <w:rPr>
      <w:rFonts w:cs="Calibri"/>
      <w:sz w:val="18"/>
      <w:szCs w:val="21"/>
    </w:rPr>
  </w:style>
  <w:style w:type="paragraph" w:styleId="17">
    <w:name w:val="toc 2"/>
    <w:basedOn w:val="1"/>
    <w:next w:val="1"/>
    <w:qFormat/>
    <w:uiPriority w:val="39"/>
    <w:pPr>
      <w:tabs>
        <w:tab w:val="right" w:leader="dot" w:pos="8777"/>
      </w:tabs>
      <w:spacing w:line="400" w:lineRule="exact"/>
      <w:ind w:left="-181"/>
    </w:pPr>
    <w:rPr>
      <w:rFonts w:ascii="Calibri" w:hAnsi="Calibri" w:eastAsia="楷体_GB2312" w:cs="Times New Roman"/>
      <w:smallCaps/>
      <w:kern w:val="2"/>
      <w:szCs w:val="30"/>
    </w:rPr>
  </w:style>
  <w:style w:type="paragraph" w:styleId="18">
    <w:name w:val="Normal (Web)"/>
    <w:basedOn w:val="1"/>
    <w:qFormat/>
    <w:uiPriority w:val="0"/>
    <w:pPr>
      <w:spacing w:beforeAutospacing="1" w:afterAutospacing="1"/>
      <w:jc w:val="left"/>
    </w:pPr>
    <w:rPr>
      <w:rFonts w:cs="Times New Roman"/>
      <w:sz w:val="24"/>
    </w:rPr>
  </w:style>
  <w:style w:type="paragraph" w:styleId="19">
    <w:name w:val="annotation subject"/>
    <w:basedOn w:val="7"/>
    <w:next w:val="7"/>
    <w:link w:val="45"/>
    <w:qFormat/>
    <w:uiPriority w:val="0"/>
    <w:rPr>
      <w:b/>
      <w:bCs/>
    </w:rPr>
  </w:style>
  <w:style w:type="paragraph" w:styleId="20">
    <w:name w:val="Body Text First Indent"/>
    <w:basedOn w:val="8"/>
    <w:qFormat/>
    <w:uiPriority w:val="0"/>
    <w:pPr>
      <w:ind w:firstLine="420" w:firstLineChars="100"/>
    </w:pPr>
    <w:rPr>
      <w:rFonts w:ascii="Calibri" w:hAnsi="Calibri" w:eastAsia="宋体" w:cs="Times New Roman"/>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FollowedHyperlink"/>
    <w:basedOn w:val="23"/>
    <w:qFormat/>
    <w:uiPriority w:val="0"/>
    <w:rPr>
      <w:color w:val="333333"/>
      <w:sz w:val="24"/>
      <w:szCs w:val="24"/>
      <w:u w:val="none"/>
      <w:vertAlign w:val="baseline"/>
    </w:rPr>
  </w:style>
  <w:style w:type="character" w:styleId="26">
    <w:name w:val="Emphasis"/>
    <w:basedOn w:val="23"/>
    <w:qFormat/>
    <w:uiPriority w:val="0"/>
    <w:rPr>
      <w:i/>
    </w:rPr>
  </w:style>
  <w:style w:type="character" w:styleId="27">
    <w:name w:val="HTML Definition"/>
    <w:basedOn w:val="23"/>
    <w:qFormat/>
    <w:uiPriority w:val="0"/>
    <w:rPr>
      <w:i/>
    </w:rPr>
  </w:style>
  <w:style w:type="character" w:styleId="28">
    <w:name w:val="Hyperlink"/>
    <w:basedOn w:val="23"/>
    <w:qFormat/>
    <w:uiPriority w:val="99"/>
    <w:rPr>
      <w:color w:val="0000FF"/>
      <w:u w:val="single"/>
    </w:rPr>
  </w:style>
  <w:style w:type="character" w:styleId="29">
    <w:name w:val="HTML Code"/>
    <w:basedOn w:val="23"/>
    <w:qFormat/>
    <w:uiPriority w:val="0"/>
    <w:rPr>
      <w:rFonts w:hint="default" w:ascii="Consolas" w:hAnsi="Consolas" w:eastAsia="Consolas" w:cs="Consolas"/>
      <w:color w:val="C7254E"/>
      <w:sz w:val="21"/>
      <w:szCs w:val="21"/>
      <w:shd w:val="clear" w:color="auto" w:fill="F9F2F4"/>
    </w:rPr>
  </w:style>
  <w:style w:type="character" w:styleId="30">
    <w:name w:val="annotation reference"/>
    <w:basedOn w:val="23"/>
    <w:qFormat/>
    <w:uiPriority w:val="0"/>
    <w:rPr>
      <w:sz w:val="21"/>
      <w:szCs w:val="21"/>
    </w:rPr>
  </w:style>
  <w:style w:type="character" w:styleId="31">
    <w:name w:val="HTML Keyboard"/>
    <w:basedOn w:val="23"/>
    <w:qFormat/>
    <w:uiPriority w:val="0"/>
    <w:rPr>
      <w:rFonts w:ascii="Consolas" w:hAnsi="Consolas" w:eastAsia="Consolas" w:cs="Consolas"/>
      <w:color w:val="FFFFFF"/>
      <w:sz w:val="21"/>
      <w:szCs w:val="21"/>
      <w:shd w:val="clear" w:color="auto" w:fill="333333"/>
    </w:rPr>
  </w:style>
  <w:style w:type="character" w:styleId="32">
    <w:name w:val="HTML Sample"/>
    <w:basedOn w:val="23"/>
    <w:qFormat/>
    <w:uiPriority w:val="0"/>
    <w:rPr>
      <w:rFonts w:hint="default" w:ascii="Consolas" w:hAnsi="Consolas" w:eastAsia="Consolas" w:cs="Consolas"/>
      <w:sz w:val="21"/>
      <w:szCs w:val="21"/>
    </w:rPr>
  </w:style>
  <w:style w:type="paragraph" w:customStyle="1" w:styleId="33">
    <w:name w:val="常用正文"/>
    <w:basedOn w:val="1"/>
    <w:qFormat/>
    <w:uiPriority w:val="0"/>
    <w:pPr>
      <w:wordWrap w:val="0"/>
    </w:pPr>
    <w:rPr>
      <w:rFonts w:asciiTheme="minorHAnsi" w:hAnsiTheme="minorHAnsi"/>
      <w:kern w:val="2"/>
    </w:rPr>
  </w:style>
  <w:style w:type="paragraph" w:customStyle="1" w:styleId="34">
    <w:name w:val="题目"/>
    <w:basedOn w:val="1"/>
    <w:next w:val="1"/>
    <w:qFormat/>
    <w:uiPriority w:val="0"/>
    <w:pPr>
      <w:wordWrap w:val="0"/>
      <w:ind w:firstLine="0" w:firstLineChars="0"/>
      <w:jc w:val="center"/>
    </w:pPr>
    <w:rPr>
      <w:rFonts w:eastAsia="方正小标宋简体"/>
      <w:sz w:val="44"/>
    </w:rPr>
  </w:style>
  <w:style w:type="paragraph" w:customStyle="1" w:styleId="35">
    <w:name w:val="图"/>
    <w:basedOn w:val="1"/>
    <w:qFormat/>
    <w:uiPriority w:val="0"/>
    <w:pPr>
      <w:spacing w:line="240" w:lineRule="auto"/>
      <w:ind w:firstLine="0" w:firstLineChars="0"/>
      <w:jc w:val="center"/>
    </w:pPr>
    <w:rPr>
      <w:rFonts w:eastAsia="楷体_GB2312"/>
      <w:sz w:val="28"/>
    </w:rPr>
  </w:style>
  <w:style w:type="character" w:customStyle="1" w:styleId="36">
    <w:name w:val="标题 1 字符"/>
    <w:link w:val="2"/>
    <w:qFormat/>
    <w:uiPriority w:val="0"/>
    <w:rPr>
      <w:rFonts w:eastAsia="黑体"/>
      <w:kern w:val="44"/>
      <w:sz w:val="32"/>
    </w:rPr>
  </w:style>
  <w:style w:type="character" w:customStyle="1" w:styleId="37">
    <w:name w:val="标题 2 字符"/>
    <w:qFormat/>
    <w:uiPriority w:val="0"/>
    <w:rPr>
      <w:rFonts w:ascii="Arial" w:hAnsi="Arial" w:eastAsia="楷体_GB2312"/>
    </w:rPr>
  </w:style>
  <w:style w:type="character" w:customStyle="1" w:styleId="38">
    <w:name w:val="标题 3 字符"/>
    <w:link w:val="4"/>
    <w:qFormat/>
    <w:uiPriority w:val="0"/>
    <w:rPr>
      <w:rFonts w:ascii="仿宋_GB2312" w:hAnsi="仿宋_GB2312" w:eastAsia="仿宋_GB2312" w:cs="仿宋_GB2312"/>
    </w:rPr>
  </w:style>
  <w:style w:type="paragraph" w:customStyle="1" w:styleId="39">
    <w:name w:val="Table Text"/>
    <w:basedOn w:val="1"/>
    <w:semiHidden/>
    <w:qFormat/>
    <w:uiPriority w:val="0"/>
    <w:rPr>
      <w:rFonts w:ascii="宋体" w:hAnsi="宋体" w:eastAsia="宋体" w:cs="宋体"/>
      <w:sz w:val="24"/>
      <w:szCs w:val="24"/>
      <w:lang w:eastAsia="en-US"/>
    </w:rPr>
  </w:style>
  <w:style w:type="paragraph" w:customStyle="1" w:styleId="40">
    <w:name w:val="Default"/>
    <w:basedOn w:val="41"/>
    <w:next w:val="12"/>
    <w:qFormat/>
    <w:uiPriority w:val="0"/>
    <w:pPr>
      <w:autoSpaceDE w:val="0"/>
      <w:autoSpaceDN w:val="0"/>
      <w:adjustRightInd w:val="0"/>
    </w:pPr>
    <w:rPr>
      <w:rFonts w:cs="Times New Roman"/>
      <w:color w:val="000000"/>
      <w:sz w:val="24"/>
      <w:szCs w:val="24"/>
    </w:rPr>
  </w:style>
  <w:style w:type="paragraph" w:customStyle="1" w:styleId="41">
    <w:name w:val="正文 New"/>
    <w:next w:val="40"/>
    <w:qFormat/>
    <w:uiPriority w:val="0"/>
    <w:pPr>
      <w:widowControl w:val="0"/>
      <w:spacing w:after="160" w:line="278" w:lineRule="auto"/>
      <w:jc w:val="both"/>
    </w:pPr>
    <w:rPr>
      <w:rFonts w:ascii="Calibri" w:hAnsi="Calibri" w:eastAsia="宋体" w:cs="黑体"/>
      <w:kern w:val="2"/>
      <w:sz w:val="21"/>
      <w:szCs w:val="22"/>
      <w:lang w:val="en-US" w:eastAsia="zh-CN" w:bidi="ar-SA"/>
    </w:rPr>
  </w:style>
  <w:style w:type="paragraph" w:customStyle="1" w:styleId="42">
    <w:name w:val="BodyTextIndent2"/>
    <w:basedOn w:val="1"/>
    <w:qFormat/>
    <w:uiPriority w:val="0"/>
    <w:pPr>
      <w:ind w:firstLine="600"/>
      <w:textAlignment w:val="baseline"/>
    </w:pPr>
    <w:rPr>
      <w:rFonts w:ascii="Times New Roman" w:hAnsi="Times New Roman" w:eastAsia="仿宋"/>
      <w:color w:val="000000"/>
      <w:kern w:val="1"/>
      <w:sz w:val="30"/>
      <w:szCs w:val="30"/>
    </w:rPr>
  </w:style>
  <w:style w:type="paragraph" w:styleId="43">
    <w:name w:val="List Paragraph"/>
    <w:basedOn w:val="1"/>
    <w:unhideWhenUsed/>
    <w:qFormat/>
    <w:uiPriority w:val="99"/>
    <w:pPr>
      <w:ind w:firstLine="420"/>
    </w:pPr>
  </w:style>
  <w:style w:type="character" w:customStyle="1" w:styleId="44">
    <w:name w:val="批注文字 字符"/>
    <w:basedOn w:val="23"/>
    <w:link w:val="7"/>
    <w:qFormat/>
    <w:uiPriority w:val="0"/>
    <w:rPr>
      <w:rFonts w:ascii="仿宋_GB2312" w:hAnsi="仿宋_GB2312" w:eastAsia="仿宋_GB2312" w:cs="仿宋_GB2312"/>
      <w:sz w:val="32"/>
      <w:szCs w:val="22"/>
    </w:rPr>
  </w:style>
  <w:style w:type="character" w:customStyle="1" w:styleId="45">
    <w:name w:val="批注主题 字符"/>
    <w:basedOn w:val="44"/>
    <w:link w:val="19"/>
    <w:qFormat/>
    <w:uiPriority w:val="0"/>
    <w:rPr>
      <w:rFonts w:ascii="仿宋_GB2312" w:hAnsi="仿宋_GB2312" w:eastAsia="仿宋_GB2312" w:cs="仿宋_GB2312"/>
      <w:b/>
      <w:bCs/>
      <w:sz w:val="32"/>
      <w:szCs w:val="22"/>
    </w:rPr>
  </w:style>
  <w:style w:type="table" w:customStyle="1" w:styleId="46">
    <w:name w:val="网格型1"/>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
    <w:name w:val="页脚 字符"/>
    <w:basedOn w:val="23"/>
    <w:link w:val="13"/>
    <w:qFormat/>
    <w:uiPriority w:val="99"/>
    <w:rPr>
      <w:rFonts w:ascii="仿宋_GB2312" w:hAnsi="仿宋_GB2312" w:eastAsia="仿宋_GB2312" w:cs="仿宋_GB2312"/>
      <w:sz w:val="18"/>
      <w:szCs w:val="22"/>
    </w:rPr>
  </w:style>
  <w:style w:type="character" w:customStyle="1" w:styleId="48">
    <w:name w:val="标题 2 字符1"/>
    <w:link w:val="3"/>
    <w:qFormat/>
    <w:uiPriority w:val="0"/>
    <w:rPr>
      <w:rFonts w:ascii="Arial" w:hAnsi="Arial" w:eastAsia="楷体_GB2312"/>
    </w:rPr>
  </w:style>
  <w:style w:type="character" w:customStyle="1" w:styleId="49">
    <w:name w:val="after"/>
    <w:basedOn w:val="23"/>
    <w:qFormat/>
    <w:uiPriority w:val="0"/>
    <w:rPr>
      <w:shd w:val="clear" w:color="auto" w:fill="FFFFFF"/>
    </w:rPr>
  </w:style>
  <w:style w:type="character" w:customStyle="1" w:styleId="50">
    <w:name w:val="fl"/>
    <w:basedOn w:val="23"/>
    <w:qFormat/>
    <w:uiPriority w:val="0"/>
    <w:rPr>
      <w:b/>
      <w:sz w:val="24"/>
      <w:szCs w:val="24"/>
    </w:rPr>
  </w:style>
  <w:style w:type="character" w:customStyle="1" w:styleId="51">
    <w:name w:val="fl1"/>
    <w:basedOn w:val="23"/>
    <w:qFormat/>
    <w:uiPriority w:val="0"/>
    <w:rPr>
      <w:shd w:val="clear" w:color="auto" w:fill="DF0001"/>
    </w:rPr>
  </w:style>
  <w:style w:type="character" w:customStyle="1" w:styleId="52">
    <w:name w:val="focus30"/>
    <w:basedOn w:val="23"/>
    <w:qFormat/>
    <w:uiPriority w:val="0"/>
    <w:rPr>
      <w:color w:val="23527C"/>
      <w:shd w:val="clear" w:color="auto" w:fill="EEEEEE"/>
    </w:rPr>
  </w:style>
  <w:style w:type="character" w:customStyle="1" w:styleId="53">
    <w:name w:val="focus31"/>
    <w:basedOn w:val="23"/>
    <w:qFormat/>
    <w:uiPriority w:val="0"/>
    <w:rPr>
      <w:color w:val="777777"/>
      <w:shd w:val="clear" w:color="auto" w:fill="FFFFFF"/>
    </w:rPr>
  </w:style>
  <w:style w:type="character" w:customStyle="1" w:styleId="54">
    <w:name w:val="focus32"/>
    <w:basedOn w:val="23"/>
    <w:qFormat/>
    <w:uiPriority w:val="0"/>
    <w:rPr>
      <w:color w:val="FFFFFF"/>
      <w:shd w:val="clear" w:color="auto" w:fill="337AB7"/>
    </w:rPr>
  </w:style>
  <w:style w:type="character" w:customStyle="1" w:styleId="55">
    <w:name w:val="hover47"/>
    <w:basedOn w:val="23"/>
    <w:qFormat/>
    <w:uiPriority w:val="0"/>
    <w:rPr>
      <w:color w:val="23527C"/>
      <w:shd w:val="clear" w:color="auto" w:fill="EEEEEE"/>
    </w:rPr>
  </w:style>
  <w:style w:type="character" w:customStyle="1" w:styleId="56">
    <w:name w:val="hover48"/>
    <w:basedOn w:val="23"/>
    <w:qFormat/>
    <w:uiPriority w:val="0"/>
    <w:rPr>
      <w:color w:val="777777"/>
      <w:shd w:val="clear" w:color="auto" w:fill="FFFFFF"/>
    </w:rPr>
  </w:style>
  <w:style w:type="character" w:customStyle="1" w:styleId="57">
    <w:name w:val="hover49"/>
    <w:basedOn w:val="23"/>
    <w:qFormat/>
    <w:uiPriority w:val="0"/>
    <w:rPr>
      <w:color w:val="FFFFFF"/>
      <w:shd w:val="clear" w:color="auto" w:fill="337AB7"/>
    </w:rPr>
  </w:style>
  <w:style w:type="character" w:customStyle="1" w:styleId="58">
    <w:name w:val="on1"/>
    <w:basedOn w:val="23"/>
    <w:qFormat/>
    <w:uiPriority w:val="0"/>
    <w:rPr>
      <w:color w:val="FFFFFF"/>
      <w:shd w:val="clear" w:color="auto" w:fill="333333"/>
    </w:rPr>
  </w:style>
  <w:style w:type="character" w:customStyle="1" w:styleId="59">
    <w:name w:val="current"/>
    <w:basedOn w:val="23"/>
    <w:qFormat/>
    <w:uiPriority w:val="0"/>
    <w:rPr>
      <w:color w:val="444546"/>
    </w:rPr>
  </w:style>
  <w:style w:type="character" w:customStyle="1" w:styleId="60">
    <w:name w:val="current1"/>
    <w:basedOn w:val="23"/>
    <w:qFormat/>
    <w:uiPriority w:val="0"/>
    <w:rPr>
      <w:color w:val="232323"/>
    </w:rPr>
  </w:style>
  <w:style w:type="character" w:customStyle="1" w:styleId="61">
    <w:name w:val="active9"/>
    <w:basedOn w:val="23"/>
    <w:qFormat/>
    <w:uiPriority w:val="0"/>
    <w:rPr>
      <w:color w:val="000000"/>
      <w:shd w:val="clear" w:color="auto" w:fill="F9D060"/>
    </w:rPr>
  </w:style>
  <w:style w:type="character" w:customStyle="1" w:styleId="62">
    <w:name w:val="back"/>
    <w:basedOn w:val="23"/>
    <w:qFormat/>
    <w:uiPriority w:val="0"/>
  </w:style>
  <w:style w:type="character" w:customStyle="1" w:styleId="63">
    <w:name w:val="font182"/>
    <w:basedOn w:val="23"/>
    <w:qFormat/>
    <w:uiPriority w:val="0"/>
  </w:style>
  <w:style w:type="character" w:customStyle="1" w:styleId="64">
    <w:name w:val="location"/>
    <w:basedOn w:val="23"/>
    <w:qFormat/>
    <w:uiPriority w:val="0"/>
    <w:rPr>
      <w:color w:val="858585"/>
    </w:rPr>
  </w:style>
  <w:style w:type="paragraph" w:customStyle="1" w:styleId="65">
    <w:name w:val="Revision"/>
    <w:hidden/>
    <w:unhideWhenUsed/>
    <w:qFormat/>
    <w:uiPriority w:val="99"/>
    <w:rPr>
      <w:rFonts w:ascii="仿宋_GB2312" w:hAnsi="仿宋_GB2312" w:eastAsia="仿宋_GB2312" w:cs="仿宋_GB231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4729864f-154b-43c7-b918-a16f9b3ac357</errorID>
      <errorWord>基本</errorWord>
      <group>L1_AI</group>
      <groupName>深度校对</groupName>
      <ability>L2_AI_Word</ability>
      <abilityName>字词纠错</abilityName>
      <candidateList>
        <item>为基本</item>
      </candidateList>
      <explain/>
      <paraID>735A478B</paraID>
      <start>10</start>
      <end>12</end>
      <status>ignored</status>
      <modifiedWord/>
      <trackRevisions>false</trackRevisions>
    </reviewItem>
    <reviewItem>
      <errorID>dbf698c6-5c03-4e68-a442-3a5ec59f0384</errorID>
      <errorWord>多亿元</errorWord>
      <group>L1_AI</group>
      <groupName>深度校对</groupName>
      <ability>L2_AI_Word</ability>
      <abilityName>字词纠错</abilityName>
      <candidateList>
        <item>亿元左右</item>
      </candidateList>
      <explain/>
      <paraID>627BC910</paraID>
      <start>171</start>
      <end>174</end>
      <status>ignored</status>
      <modifiedWord/>
      <trackRevisions>false</trackRevisions>
    </reviewItem>
    <reviewItem>
      <errorID>247619fc-33f9-4bf3-8ced-f6daf39d52fc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627BC910</paraID>
      <start>322</start>
      <end>325</end>
      <status>ignored</status>
      <modifiedWord/>
      <trackRevisions>false</trackRevisions>
    </reviewItem>
    <reviewItem>
      <errorID>1ec5f306-dbbc-41f8-8533-e5685d7f7ffd</errorID>
      <errorWord>战略机遇与风险挑战并存</errorWord>
      <group>L1_Political</group>
      <groupName>政治性问题</groupName>
      <ability>L2_Keyword</ability>
      <abilityName>固定表述</abilityName>
      <candidateList>
        <item>战略机遇和风险挑战并存</item>
      </candidateList>
      <explain>词汇“战略机遇和风险挑战并存”在特定场景下为固定表述形式，请确认此处的“战略机遇与风险挑战并存”是否存在不当。</explain>
      <paraID>2989DDCD</paraID>
      <start>16</start>
      <end>27</end>
      <status>ignored</status>
      <modifiedWord/>
      <trackRevisions>false</trackRevisions>
    </reviewItem>
    <reviewItem>
      <errorID>504f0bc2-84f9-4f39-b112-ef664616c744</errorID>
      <errorWord>两三日</errorWord>
      <group>L1_Word</group>
      <groupName>字词问题</groupName>
      <ability>L2_Typo</ability>
      <abilityName>字词错误</abilityName>
      <candidateList>
        <item>三日</item>
      </candidateList>
      <explain/>
      <paraID>685EA0D2</paraID>
      <start>123</start>
      <end>126</end>
      <status>unmodified</status>
      <modifiedWord/>
      <trackRevisions>false</trackRevisions>
    </reviewItem>
    <reviewItem>
      <errorID>c3bdb6ca-38f6-4b4f-a642-7dbc6392484d</errorID>
      <errorWord>双招双引</errorWord>
      <group>L1_Political</group>
      <groupName>政治性问题</groupName>
      <ability>L2_Unpolitical</ability>
      <abilityName>政治敏感错误</abilityName>
      <candidateList>
        <item>“双招双引”</item>
      </candidateList>
      <explain/>
      <paraID>68E28946</paraID>
      <start>204</start>
      <end>208</end>
      <status>unmodified</status>
      <modifiedWord/>
      <trackRevisions>false</trackRevisions>
    </reviewItem>
    <reviewItem>
      <errorID>5cfcaaa0-03e7-45e7-b8da-006d6ebf66c1</errorID>
      <errorWord>双招双引</errorWord>
      <group>L1_Political</group>
      <groupName>政治性问题</groupName>
      <ability>L2_Unpolitical</ability>
      <abilityName>政治敏感错误</abilityName>
      <candidateList>
        <item>“双招双引”</item>
      </candidateList>
      <explain/>
      <paraID>68E28946</paraID>
      <start>212</start>
      <end>216</end>
      <status>ignored</status>
      <modifiedWord/>
      <trackRevisions>false</trackRevisions>
    </reviewItem>
    <reviewItem>
      <errorID>7092e108-0fcc-4085-8145-7ec3563460b3</errorID>
      <errorWord>谷子经济</errorWord>
      <group>L1_Political</group>
      <groupName>政治性问题</groupName>
      <ability>L2_Keyword</ability>
      <abilityName>固定表述</abilityName>
      <candidateList>
        <item>“谷子经济”</item>
      </candidateList>
      <explain>注意检查当前固定表述标点是否使用规范。</explain>
      <paraID>1494A5F3</paraID>
      <start>105</start>
      <end>109</end>
      <status>unmodified</status>
      <modifiedWord/>
      <trackRevisions>false</trackRevisions>
    </reviewItem>
    <reviewItem>
      <errorID>aef1aff5-08d6-4cf3-a1f2-e5ec5bfc473b</errorID>
      <errorWord>谷子经济</errorWord>
      <group>L1_Political</group>
      <groupName>政治性问题</groupName>
      <ability>L2_Keyword</ability>
      <abilityName>固定表述</abilityName>
      <candidateList>
        <item>“谷子经济”</item>
      </candidateList>
      <explain>注意检查当前固定表述标点是否使用规范。</explain>
      <paraID>700209D2</paraID>
      <start>165</start>
      <end>169</end>
      <status>unmodified</status>
      <modifiedWord/>
      <trackRevisions>false</trackRevisions>
    </reviewItem>
    <reviewItem>
      <errorID>0dc90c28-21de-44cc-ac1d-ba35a350afc5</errorID>
      <errorWord>新型基础设施等建设</errorWord>
      <group>L1_Political</group>
      <groupName>政治性问题</groupName>
      <ability>L2_Keyword</ability>
      <abilityName>固定表述</abilityName>
      <candidateList>
        <item>新型基础设施建设</item>
      </candidateList>
      <explain>词汇“新型基础设施建设”在特定场景下为固定表述形式，请确认此处的“新型基础设施等建设”是否存在不当。</explain>
      <paraID>5B0D42B2</paraID>
      <start>38</start>
      <end>47</end>
      <status>unmodified</status>
      <modifiedWord/>
      <trackRevisions>false</trackRevisions>
    </reviewItem>
    <reviewItem>
      <errorID>223a79ef-ee29-4934-88f8-1b10197356a3</errorID>
      <errorWord>解决好群众急难愁盼问题</errorWord>
      <group>L1_Political</group>
      <groupName>政治性问题</groupName>
      <ability>L2_Keyword</ability>
      <abilityName>固定表述</abilityName>
      <candidateList>
        <item>解决好人民群众急难愁盼问题</item>
      </candidateList>
      <explain>词汇“解决好人民群众急难愁盼问题”在特定场景下为固定表述形式，请确认此处的“解决好群众急难愁盼问题”是否存在不当。</explain>
      <paraID>1CEA6B36</paraID>
      <start>30</start>
      <end>41</end>
      <status>unmodified</status>
      <modifiedWord/>
      <trackRevisions>false</trackRevisions>
    </reviewItem>
    <reviewItem>
      <errorID>8f11011c-0c36-4248-8dee-6724394e046c</errorID>
      <errorWord>国家区域医疗中心</errorWord>
      <group>L1_Political</group>
      <groupName>政治性问题</groupName>
      <ability>L2_Keyword</ability>
      <abilityName>固定表述</abilityName>
      <candidateList>
        <item>国家中医区域医疗中心</item>
      </candidateList>
      <explain>词汇“国家中医区域医疗中心”在特定场景下为固定表述形式，请确认此处的“国家区域医疗中心”是否存在不当。</explain>
      <paraID>7A3C0CFA</paraID>
      <start>62</start>
      <end>70</end>
      <status>unmodified</status>
      <modifiedWord/>
      <trackRevisions>false</trackRevisions>
    </reviewItem>
    <reviewItem>
      <errorID>88c2a3ce-7133-4bf7-82c6-a9e48fe20ae1</errorID>
      <errorWord>群众体育和竞技体育发展</errorWord>
      <group>L1_Political</group>
      <groupName>政治性问题</groupName>
      <ability>L2_Keyword</ability>
      <abilityName>固定表述</abilityName>
      <candidateList>
        <item>群众体育和竞技体育全面发展</item>
      </candidateList>
      <explain>词汇“群众体育和竞技体育全面发展”在特定场景下为固定表述形式，请确认此处的“群众体育和竞技体育发展”是否存在不当。</explain>
      <paraID>6CCAC1B6</paraID>
      <start>14</start>
      <end>25</end>
      <status>unmodified</status>
      <modifiedWord/>
      <trackRevisions>false</trackRevisions>
    </reviewItem>
    <reviewItem>
      <errorID>d3cf7141-0107-4873-b4fe-f178f98ce1d4</errorID>
      <errorWord>老年痴呆</errorWord>
      <group>L1_Word</group>
      <groupName>字词问题</groupName>
      <ability>L2_Typo</ability>
      <abilityName>字词错误</abilityName>
      <candidateList>
        <item>阿尔茨海默病</item>
      </candidateList>
      <explain/>
      <paraID>11FDF035</paraID>
      <start>355</start>
      <end>359</end>
      <status>unmodified</status>
      <modifiedWord/>
      <trackRevisions>false</trackRevisions>
    </reviewItem>
    <reviewItem>
      <errorID>1a8bcba7-57f2-496e-9603-5bb7832ae177</errorID>
      <errorWord>坚持党的领导、人民当家作主、依法治区有机统一</errorWord>
      <group>L1_Political</group>
      <groupName>政治性问题</groupName>
      <ability>L2_Keyword</ability>
      <abilityName>固定表述</abilityName>
      <candidateList>
        <item>坚持党的领导、人民当家作主、依法治国有机统一</item>
      </candidateList>
      <explain>词汇“坚持党的领导、人民当家作主、依法治国有机统一”在特定场景下为固定表述形式，请确认此处的“坚持党的领导、人民当家作主、依法治区有机统一”是否存在不当。</explain>
      <paraID>5D438F3D</paraID>
      <start>32</start>
      <end>54</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820CA-63A4-400A-979A-4774C290C6E9}">
  <ds:schemaRefs/>
</ds:datastoreItem>
</file>

<file path=customXml/itemProps3.xml><?xml version="1.0" encoding="utf-8"?>
<ds:datastoreItem xmlns:ds="http://schemas.openxmlformats.org/officeDocument/2006/customXml" ds:itemID="{95D9AB4A-2D03-46E1-A9EE-70E8D09033C0}">
  <ds:schemaRefs/>
</ds:datastoreItem>
</file>

<file path=docProps/app.xml><?xml version="1.0" encoding="utf-8"?>
<Properties xmlns="http://schemas.openxmlformats.org/officeDocument/2006/extended-properties" xmlns:vt="http://schemas.openxmlformats.org/officeDocument/2006/docPropsVTypes">
  <Template>Normal.dotm</Template>
  <Pages>83</Pages>
  <Words>40693</Words>
  <Characters>41144</Characters>
  <Lines>834</Lines>
  <Paragraphs>157</Paragraphs>
  <TotalTime>11</TotalTime>
  <ScaleCrop>false</ScaleCrop>
  <LinksUpToDate>false</LinksUpToDate>
  <CharactersWithSpaces>41243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2026-01-26T08:56:00Z</dcterms:created>
  <dc:creator>二部</dc:creator>
  <cp:lastModifiedBy>123</cp:lastModifiedBy>
  <cp:lastPrinted>2025-12-31T06:56:00Z</cp:lastPrinted>
  <dcterms:modified xsi:type="dcterms:W3CDTF">2026-01-27T07:48:31Z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CA3E8FCFB39D4162BF15BE3BBCED7EC8_13</vt:lpwstr>
  </property>
  <property fmtid="{D5CDD505-2E9C-101B-9397-08002B2CF9AE}" pid="4" name="KSOTemplateDocerSaveRecord">
    <vt:lpwstr>eyJoZGlkIjoiZWRjNWI3ZThjNzM4ZWE0OWNjNjFiYzJjNTYwMzQzNzgiLCJ1c2VySWQiOiIxMTIxNzkxMTk1In0=</vt:lpwstr>
  </property>
</Properties>
</file>