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rPr>
          <w:rFonts w:ascii="文星标宋" w:hAnsi="文星标宋" w:eastAsia="文星标宋" w:cs="文星标宋"/>
          <w:sz w:val="44"/>
          <w:szCs w:val="44"/>
        </w:rPr>
      </w:pPr>
    </w:p>
    <w:p>
      <w:pPr>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关于槐荫区2023年国民经济和社会发展</w:t>
      </w:r>
    </w:p>
    <w:p>
      <w:pPr>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计划执行情况与2024年计划草案的 </w:t>
      </w:r>
    </w:p>
    <w:p>
      <w:pPr>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告</w:t>
      </w:r>
    </w:p>
    <w:p>
      <w:pPr>
        <w:spacing w:line="620" w:lineRule="exact"/>
        <w:ind w:firstLine="960" w:firstLineChars="300"/>
        <w:jc w:val="center"/>
        <w:rPr>
          <w:rFonts w:ascii="楷体_GB2312" w:hAnsi="楷体_GB2312" w:eastAsia="楷体_GB2312" w:cs="楷体_GB2312"/>
          <w:sz w:val="32"/>
          <w:szCs w:val="32"/>
        </w:rPr>
      </w:pPr>
    </w:p>
    <w:p>
      <w:pPr>
        <w:spacing w:line="620" w:lineRule="exact"/>
        <w:ind w:firstLine="960" w:firstLineChars="30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——2024年1月</w:t>
      </w:r>
      <w:r>
        <w:rPr>
          <w:rFonts w:hint="eastAsia" w:ascii="楷体_GB2312" w:hAnsi="楷体_GB2312" w:eastAsia="楷体_GB2312" w:cs="楷体_GB2312"/>
          <w:sz w:val="32"/>
          <w:szCs w:val="32"/>
          <w:lang w:val="en-US" w:eastAsia="zh-CN"/>
        </w:rPr>
        <w:t>17</w:t>
      </w:r>
      <w:r>
        <w:rPr>
          <w:rFonts w:hint="eastAsia" w:ascii="楷体_GB2312" w:hAnsi="楷体_GB2312" w:eastAsia="楷体_GB2312" w:cs="楷体_GB2312"/>
          <w:sz w:val="32"/>
          <w:szCs w:val="32"/>
        </w:rPr>
        <w:t>日在济南市槐荫区第十九届</w:t>
      </w:r>
    </w:p>
    <w:p>
      <w:pPr>
        <w:spacing w:line="620" w:lineRule="exact"/>
        <w:ind w:firstLine="1600" w:firstLineChars="500"/>
        <w:rPr>
          <w:rFonts w:ascii="楷体_GB2312" w:hAnsi="楷体_GB2312" w:eastAsia="楷体_GB2312" w:cs="楷体_GB2312"/>
          <w:sz w:val="32"/>
          <w:szCs w:val="32"/>
        </w:rPr>
      </w:pPr>
      <w:r>
        <w:rPr>
          <w:rFonts w:hint="eastAsia" w:ascii="楷体_GB2312" w:hAnsi="楷体_GB2312" w:eastAsia="楷体_GB2312" w:cs="楷体_GB2312"/>
          <w:sz w:val="32"/>
          <w:szCs w:val="32"/>
        </w:rPr>
        <w:t xml:space="preserve">  人民代表大会第</w:t>
      </w:r>
      <w:r>
        <w:rPr>
          <w:rFonts w:hint="eastAsia" w:ascii="楷体_GB2312" w:hAnsi="楷体_GB2312" w:eastAsia="楷体_GB2312" w:cs="楷体_GB2312"/>
          <w:sz w:val="32"/>
          <w:szCs w:val="32"/>
          <w:highlight w:val="none"/>
        </w:rPr>
        <w:t>三</w:t>
      </w:r>
      <w:r>
        <w:rPr>
          <w:rFonts w:hint="eastAsia" w:ascii="楷体_GB2312" w:hAnsi="楷体_GB2312" w:eastAsia="楷体_GB2312" w:cs="楷体_GB2312"/>
          <w:sz w:val="32"/>
          <w:szCs w:val="32"/>
        </w:rPr>
        <w:t>次会议上</w:t>
      </w:r>
    </w:p>
    <w:p>
      <w:pPr>
        <w:spacing w:line="620" w:lineRule="exact"/>
        <w:rPr>
          <w:rFonts w:ascii="楷体_GB2312" w:hAnsi="楷体_GB2312" w:eastAsia="楷体_GB2312" w:cs="楷体_GB2312"/>
          <w:sz w:val="32"/>
          <w:szCs w:val="32"/>
        </w:rPr>
      </w:pPr>
      <w:r>
        <w:rPr>
          <w:rFonts w:hint="eastAsia" w:ascii="楷体_GB2312" w:hAnsi="楷体_GB2312" w:eastAsia="楷体_GB2312" w:cs="楷体_GB2312"/>
          <w:sz w:val="32"/>
          <w:szCs w:val="32"/>
        </w:rPr>
        <w:t xml:space="preserve">           </w:t>
      </w:r>
    </w:p>
    <w:p>
      <w:pPr>
        <w:spacing w:line="620" w:lineRule="exact"/>
        <w:jc w:val="center"/>
        <w:rPr>
          <w:rFonts w:ascii="楷体" w:hAnsi="楷体" w:eastAsia="楷体_GB2312"/>
          <w:sz w:val="32"/>
          <w:szCs w:val="32"/>
        </w:rPr>
      </w:pPr>
      <w:r>
        <w:rPr>
          <w:rFonts w:hint="eastAsia" w:ascii="楷体_GB2312" w:hAnsi="楷体_GB2312" w:eastAsia="楷体_GB2312" w:cs="楷体_GB2312"/>
          <w:sz w:val="32"/>
          <w:szCs w:val="32"/>
        </w:rPr>
        <w:t>槐荫区发展和改革局局长  范忠平</w:t>
      </w:r>
    </w:p>
    <w:p>
      <w:pPr>
        <w:spacing w:line="620" w:lineRule="exact"/>
        <w:rPr>
          <w:rFonts w:ascii="仿宋_GB2312" w:hAnsi="仿宋_GB2312" w:eastAsia="仿宋_GB2312" w:cs="仿宋_GB2312"/>
          <w:sz w:val="32"/>
          <w:szCs w:val="32"/>
        </w:rPr>
      </w:pP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各位代表：</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受区人民政府委托，向大会提交槐荫区2023年国民经济和社会发展计划执行情况与2024年国民经济和社会发展计划草案，请予审议，并请区政协委员和其他列席会议的同志提出意见。</w:t>
      </w:r>
    </w:p>
    <w:p>
      <w:pPr>
        <w:spacing w:line="620" w:lineRule="exact"/>
        <w:ind w:firstLine="640" w:firstLineChars="200"/>
        <w:rPr>
          <w:rFonts w:ascii="黑体" w:hAnsi="黑体" w:eastAsia="黑体" w:cs="文星黑体"/>
          <w:sz w:val="32"/>
          <w:szCs w:val="32"/>
        </w:rPr>
      </w:pPr>
      <w:r>
        <w:rPr>
          <w:rFonts w:hint="eastAsia" w:ascii="黑体" w:hAnsi="黑体" w:eastAsia="黑体" w:cs="文星黑体"/>
          <w:sz w:val="32"/>
          <w:szCs w:val="32"/>
        </w:rPr>
        <w:t>一、2023年国民经济和社会发展计划执行情况</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是“后疫情”时代的第一年，市场开始全面复苏。一年来，在区委的坚强领导下，全区上下坚持以习近平新时代中国特色社会主义思想为指导，全面贯彻落实党的二十大精神，深入开展学习贯彻习近平新时代中国特色社会主义思想主题教育，锚定“125510”发展思路，推动“抓项目强产业攻坚提升年”走深走实，以“四拼”精神推动“十大提升行动”见行见效，全区发展动能稳步增强，创新活力不断释放，生态环境提质增优，民生实事扎实推进，社会大局和</w:t>
      </w:r>
      <w:r>
        <w:rPr>
          <w:rFonts w:hint="eastAsia" w:ascii="仿宋_GB2312" w:hAnsi="仿宋_GB2312" w:eastAsia="仿宋_GB2312" w:cs="仿宋_GB2312"/>
          <w:sz w:val="32"/>
          <w:szCs w:val="32"/>
          <w:highlight w:val="none"/>
        </w:rPr>
        <w:t>谐稳定，较好完成了区十九届人大二次会议确定的目标任务。</w:t>
      </w:r>
    </w:p>
    <w:p>
      <w:pPr>
        <w:pStyle w:val="3"/>
        <w:spacing w:after="0" w:line="620" w:lineRule="exact"/>
        <w:ind w:firstLine="640" w:firstLineChars="200"/>
        <w:rPr>
          <w:rFonts w:hint="eastAsia" w:ascii="楷体_GB2312" w:hAnsi="楷体_GB2312" w:eastAsia="仿宋_GB2312" w:cs="楷体_GB2312"/>
          <w:sz w:val="32"/>
          <w:szCs w:val="32"/>
          <w:lang w:eastAsia="zh-CN"/>
        </w:rPr>
      </w:pPr>
      <w:r>
        <w:rPr>
          <w:rFonts w:hint="eastAsia" w:ascii="楷体_GB2312" w:hAnsi="楷体_GB2312" w:eastAsia="楷体_GB2312" w:cs="楷体_GB2312"/>
          <w:sz w:val="32"/>
          <w:szCs w:val="32"/>
        </w:rPr>
        <w:t>（一）经济发展提质增效。</w:t>
      </w:r>
      <w:r>
        <w:rPr>
          <w:rFonts w:hint="eastAsia" w:ascii="仿宋_GB2312" w:hAnsi="仿宋_GB2312" w:eastAsia="仿宋_GB2312" w:cs="仿宋_GB2312"/>
          <w:sz w:val="32"/>
          <w:szCs w:val="32"/>
        </w:rPr>
        <w:t>坚持强化经济运行监测，对主要经济指标变化情况实时预判、实时监测、实时分析，全力稳住经济增长，推动高质量发展取得新成效。预计</w:t>
      </w:r>
      <w:r>
        <w:rPr>
          <w:rFonts w:hint="eastAsia" w:ascii="仿宋_GB2312" w:hAnsi="仿宋_GB2312" w:eastAsia="仿宋_GB2312" w:cs="仿宋_GB2312"/>
          <w:sz w:val="32"/>
          <w:szCs w:val="32"/>
          <w:lang w:eastAsia="zh-CN"/>
        </w:rPr>
        <w:t>全年地区生产总值</w:t>
      </w:r>
      <w:r>
        <w:rPr>
          <w:rFonts w:hint="eastAsia" w:ascii="仿宋_GB2312" w:hAnsi="仿宋_GB2312" w:eastAsia="仿宋_GB2312" w:cs="仿宋_GB2312"/>
          <w:sz w:val="32"/>
          <w:szCs w:val="32"/>
        </w:rPr>
        <w:t>增长</w:t>
      </w:r>
      <w:r>
        <w:rPr>
          <w:rFonts w:hint="eastAsia" w:ascii="仿宋_GB2312" w:hAnsi="仿宋_GB2312" w:eastAsia="仿宋_GB2312" w:cs="仿宋_GB2312"/>
          <w:sz w:val="32"/>
          <w:szCs w:val="32"/>
          <w:lang w:val="en-US" w:eastAsia="zh-CN"/>
        </w:rPr>
        <w:t>6.2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左右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高于人代会计划0.7个百分点</w:t>
      </w:r>
      <w:r>
        <w:rPr>
          <w:rFonts w:hint="eastAsia" w:ascii="仿宋_GB2312" w:hAnsi="仿宋_GB2312" w:eastAsia="仿宋_GB2312" w:cs="仿宋_GB2312"/>
          <w:sz w:val="32"/>
          <w:szCs w:val="32"/>
        </w:rPr>
        <w:t>；规模以上工业增加值增长</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左右</w:t>
      </w:r>
      <w:r>
        <w:rPr>
          <w:rFonts w:hint="eastAsia" w:ascii="仿宋_GB2312" w:hAnsi="仿宋_GB2312" w:eastAsia="仿宋_GB2312" w:cs="仿宋_GB2312"/>
          <w:sz w:val="32"/>
          <w:szCs w:val="32"/>
        </w:rPr>
        <w:t>，高于人代会计划</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个百分点；固定资产投资增长15%</w:t>
      </w:r>
      <w:r>
        <w:rPr>
          <w:rFonts w:hint="eastAsia" w:ascii="仿宋_GB2312" w:hAnsi="仿宋_GB2312" w:eastAsia="仿宋_GB2312" w:cs="仿宋_GB2312"/>
          <w:sz w:val="32"/>
          <w:szCs w:val="32"/>
          <w:lang w:val="en-US" w:eastAsia="zh-CN"/>
        </w:rPr>
        <w:t>以上</w:t>
      </w:r>
      <w:r>
        <w:rPr>
          <w:rFonts w:hint="eastAsia" w:ascii="仿宋_GB2312" w:hAnsi="仿宋_GB2312" w:eastAsia="仿宋_GB2312" w:cs="仿宋_GB2312"/>
          <w:sz w:val="32"/>
          <w:szCs w:val="32"/>
        </w:rPr>
        <w:t>，高于人代会计划3个百分点；社会消</w:t>
      </w:r>
      <w:r>
        <w:rPr>
          <w:rFonts w:hint="eastAsia" w:ascii="仿宋_GB2312" w:hAnsi="仿宋_GB2312" w:eastAsia="仿宋_GB2312" w:cs="仿宋_GB2312"/>
          <w:sz w:val="32"/>
          <w:szCs w:val="32"/>
          <w:highlight w:val="none"/>
        </w:rPr>
        <w:t>费品零售总额增长</w:t>
      </w:r>
      <w:r>
        <w:rPr>
          <w:rFonts w:hint="eastAsia" w:ascii="仿宋_GB2312" w:hAnsi="仿宋_GB2312" w:eastAsia="仿宋_GB2312" w:cs="仿宋_GB2312"/>
          <w:sz w:val="32"/>
          <w:szCs w:val="32"/>
          <w:highlight w:val="none"/>
          <w:lang w:val="en-US" w:eastAsia="zh-CN"/>
        </w:rPr>
        <w:t>10.5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以上</w:t>
      </w:r>
      <w:r>
        <w:rPr>
          <w:rFonts w:hint="eastAsia" w:ascii="仿宋_GB2312" w:hAnsi="仿宋_GB2312" w:eastAsia="仿宋_GB2312" w:cs="仿宋_GB2312"/>
          <w:sz w:val="32"/>
          <w:szCs w:val="32"/>
          <w:highlight w:val="none"/>
        </w:rPr>
        <w:t>，高于人代会计划5个百分点；实际使用外资增长-25.</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一般公共预算收入</w:t>
      </w:r>
      <w:r>
        <w:rPr>
          <w:rFonts w:hint="eastAsia"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rPr>
        <w:t>56.7亿元，同比增长13.1%，高于人代会</w:t>
      </w:r>
      <w:r>
        <w:rPr>
          <w:rFonts w:hint="eastAsia" w:ascii="仿宋_GB2312" w:hAnsi="仿宋_GB2312" w:eastAsia="仿宋_GB2312" w:cs="仿宋_GB2312"/>
          <w:sz w:val="32"/>
          <w:szCs w:val="32"/>
          <w:lang w:eastAsia="zh-CN"/>
        </w:rPr>
        <w:t>预期</w:t>
      </w:r>
      <w:r>
        <w:rPr>
          <w:rFonts w:hint="eastAsia" w:ascii="仿宋_GB2312" w:hAnsi="仿宋_GB2312" w:eastAsia="仿宋_GB2312" w:cs="仿宋_GB2312"/>
          <w:sz w:val="32"/>
          <w:szCs w:val="32"/>
        </w:rPr>
        <w:t>0.1个百分点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进出口总额</w:t>
      </w:r>
      <w:r>
        <w:rPr>
          <w:rFonts w:hint="eastAsia" w:ascii="仿宋_GB2312" w:hAnsi="仿宋_GB2312" w:eastAsia="仿宋_GB2312" w:cs="仿宋_GB2312"/>
          <w:sz w:val="32"/>
          <w:szCs w:val="32"/>
          <w:highlight w:val="none"/>
          <w:lang w:eastAsia="zh-CN"/>
        </w:rPr>
        <w:t>完成</w:t>
      </w:r>
      <w:r>
        <w:rPr>
          <w:rFonts w:hint="eastAsia" w:ascii="仿宋_GB2312" w:hAnsi="仿宋_GB2312" w:eastAsia="仿宋_GB2312" w:cs="仿宋_GB2312"/>
          <w:sz w:val="32"/>
          <w:szCs w:val="32"/>
          <w:highlight w:val="none"/>
        </w:rPr>
        <w:t>63.1亿元</w:t>
      </w:r>
      <w:r>
        <w:rPr>
          <w:rFonts w:hint="eastAsia" w:ascii="仿宋_GB2312" w:hAnsi="仿宋_GB2312" w:eastAsia="仿宋_GB2312" w:cs="仿宋_GB2312"/>
          <w:sz w:val="32"/>
          <w:szCs w:val="32"/>
          <w:highlight w:val="none"/>
          <w:lang w:eastAsia="zh-CN"/>
        </w:rPr>
        <w:t>，同比</w:t>
      </w:r>
      <w:r>
        <w:rPr>
          <w:rFonts w:hint="eastAsia" w:ascii="仿宋_GB2312" w:hAnsi="仿宋_GB2312" w:eastAsia="仿宋_GB2312" w:cs="仿宋_GB2312"/>
          <w:sz w:val="32"/>
          <w:szCs w:val="32"/>
          <w:highlight w:val="none"/>
        </w:rPr>
        <w:t>增长</w:t>
      </w:r>
      <w:r>
        <w:rPr>
          <w:rFonts w:hint="eastAsia" w:ascii="仿宋_GB2312" w:hAnsi="仿宋_GB2312" w:eastAsia="仿宋_GB2312" w:cs="仿宋_GB2312"/>
          <w:sz w:val="32"/>
          <w:szCs w:val="32"/>
          <w:highlight w:val="none"/>
          <w:lang w:val="en-US" w:eastAsia="zh-CN"/>
        </w:rPr>
        <w:t>27.4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高于</w:t>
      </w:r>
      <w:r>
        <w:rPr>
          <w:rFonts w:hint="eastAsia" w:ascii="仿宋_GB2312" w:hAnsi="仿宋_GB2312" w:eastAsia="仿宋_GB2312" w:cs="仿宋_GB2312"/>
          <w:sz w:val="32"/>
          <w:szCs w:val="32"/>
          <w:highlight w:val="none"/>
        </w:rPr>
        <w:t>人代会计划</w:t>
      </w:r>
      <w:r>
        <w:rPr>
          <w:rFonts w:hint="eastAsia" w:ascii="仿宋_GB2312" w:hAnsi="仿宋_GB2312" w:eastAsia="仿宋_GB2312" w:cs="仿宋_GB2312"/>
          <w:sz w:val="32"/>
          <w:szCs w:val="32"/>
          <w:highlight w:val="none"/>
          <w:lang w:val="en-US" w:eastAsia="zh-CN"/>
        </w:rPr>
        <w:t>15.4个百分点</w:t>
      </w:r>
      <w:r>
        <w:rPr>
          <w:rFonts w:hint="eastAsia" w:ascii="仿宋_GB2312" w:hAnsi="仿宋_GB2312" w:eastAsia="仿宋_GB2312" w:cs="仿宋_GB2312"/>
          <w:sz w:val="32"/>
          <w:szCs w:val="32"/>
          <w:highlight w:val="none"/>
          <w:lang w:eastAsia="zh-CN"/>
        </w:rPr>
        <w:t>。</w:t>
      </w:r>
      <w:bookmarkStart w:id="0" w:name="_GoBack"/>
      <w:bookmarkEnd w:id="0"/>
    </w:p>
    <w:p>
      <w:pPr>
        <w:pStyle w:val="3"/>
        <w:spacing w:after="0" w:line="620" w:lineRule="exact"/>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（二）产业能级不断攀升。</w:t>
      </w:r>
      <w:r>
        <w:rPr>
          <w:rFonts w:hint="eastAsia" w:ascii="仿宋_GB2312" w:hAnsi="仿宋_GB2312" w:eastAsia="仿宋_GB2312" w:cs="仿宋_GB2312"/>
          <w:sz w:val="32"/>
          <w:szCs w:val="32"/>
          <w:lang w:val="en-US" w:eastAsia="zh-CN"/>
        </w:rPr>
        <w:t>通过优化产业布局、细化产业方向，全力构建“342”现代化产业体系，巩固提升产业链的韧性和安全</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lang w:val="en-US" w:eastAsia="zh-CN"/>
        </w:rPr>
        <w:t>①</w:t>
      </w:r>
      <w:r>
        <w:rPr>
          <w:rFonts w:hint="eastAsia" w:ascii="仿宋_GB2312" w:hAnsi="仿宋_GB2312" w:eastAsia="仿宋_GB2312" w:cs="仿宋_GB2312"/>
          <w:sz w:val="32"/>
          <w:szCs w:val="32"/>
        </w:rPr>
        <w:t>重点产业发展势头强劲。</w:t>
      </w:r>
      <w:r>
        <w:rPr>
          <w:rFonts w:hint="eastAsia" w:ascii="仿宋_GB2312" w:hAnsi="仿宋_GB2312" w:eastAsia="仿宋_GB2312" w:cs="仿宋_GB2312"/>
          <w:sz w:val="32"/>
          <w:szCs w:val="32"/>
          <w:lang w:val="en-US" w:eastAsia="zh-CN"/>
        </w:rPr>
        <w:t>医养健康产业化进程不断加快。医学中心成功入选山东省绿色低碳高质量发展先行区建设产业园区试点；</w:t>
      </w:r>
      <w:r>
        <w:rPr>
          <w:rFonts w:hint="eastAsia" w:ascii="仿宋_GB2312" w:hAnsi="仿宋_GB2312" w:eastAsia="仿宋_GB2312" w:cs="仿宋_GB2312"/>
          <w:sz w:val="32"/>
          <w:szCs w:val="32"/>
          <w:lang w:eastAsia="zh-CN"/>
        </w:rPr>
        <w:t>齐鲁医院综合类国家医学中心申报顺利推进；“一号工程”山东省质子中心正式启动质子临床治疗；医疗板块引领型项目树兰（济南）医院迎来试运行，全面打造以感染、器官移植、脑科学、心内及肾病为主要病种的卓越学科；医疗健康科技创新产业园竣工招商；海凭医疗器械产业园开园</w:t>
      </w:r>
      <w:r>
        <w:rPr>
          <w:rFonts w:hint="eastAsia" w:ascii="仿宋_GB2312" w:hAnsi="仿宋_GB2312" w:eastAsia="仿宋_GB2312" w:cs="仿宋_GB2312"/>
          <w:sz w:val="32"/>
          <w:szCs w:val="32"/>
          <w:lang w:val="en-US" w:eastAsia="zh-CN"/>
        </w:rPr>
        <w:t>运营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先进材料产业崛起成峰，智能制造产业蓬勃发展。槐荫经济开发区顺利实现扩区调区，面积由原来的2平方公里扩容至9.53平方公里，为工业项目落地扩大有效空间；与国内工信领域顶尖智库赛迪研究院深化合作，中国赛迪黄河中心签约落户我区</w:t>
      </w:r>
      <w:r>
        <w:rPr>
          <w:rFonts w:hint="eastAsia" w:ascii="仿宋_GB2312" w:hAnsi="仿宋_GB2312" w:eastAsia="仿宋_GB2312" w:cs="仿宋_GB2312"/>
          <w:sz w:val="32"/>
          <w:szCs w:val="32"/>
          <w:lang w:eastAsia="zh-CN"/>
        </w:rPr>
        <w:t>；山东天岳制备出高品质8英寸导电型碳化硅衬底并实现批量销售，抢占碳化硅衬底技术高地，被评为省级智能工厂；济南二机床入选国家级智能制造实施示范工厂揭榜单位，</w:t>
      </w:r>
      <w:r>
        <w:rPr>
          <w:rFonts w:hint="eastAsia" w:ascii="仿宋_GB2312" w:hAnsi="仿宋_GB2312" w:eastAsia="仿宋_GB2312" w:cs="仿宋_GB2312"/>
          <w:sz w:val="32"/>
          <w:szCs w:val="32"/>
          <w:lang w:val="en-US" w:eastAsia="zh-CN"/>
        </w:rPr>
        <w:t>集团</w:t>
      </w:r>
      <w:r>
        <w:rPr>
          <w:rFonts w:hint="eastAsia" w:ascii="仿宋_GB2312" w:hAnsi="仿宋_GB2312" w:eastAsia="仿宋_GB2312" w:cs="仿宋_GB2312"/>
          <w:sz w:val="32"/>
          <w:szCs w:val="32"/>
          <w:lang w:eastAsia="zh-CN"/>
        </w:rPr>
        <w:t>年产值突破</w:t>
      </w:r>
      <w:r>
        <w:rPr>
          <w:rFonts w:hint="eastAsia" w:ascii="仿宋_GB2312" w:hAnsi="仿宋_GB2312" w:eastAsia="仿宋_GB2312" w:cs="仿宋_GB2312"/>
          <w:sz w:val="32"/>
          <w:szCs w:val="32"/>
          <w:lang w:val="en-US" w:eastAsia="zh-CN"/>
        </w:rPr>
        <w:t>百亿元。</w:t>
      </w:r>
      <w:r>
        <w:rPr>
          <w:rFonts w:hint="default" w:ascii="仿宋_GB2312" w:hAnsi="仿宋_GB2312" w:eastAsia="仿宋_GB2312" w:cs="仿宋_GB2312"/>
          <w:sz w:val="32"/>
          <w:szCs w:val="32"/>
          <w:lang w:val="en-US" w:eastAsia="zh-CN"/>
        </w:rPr>
        <w:t>②</w:t>
      </w:r>
      <w:r>
        <w:rPr>
          <w:rFonts w:hint="eastAsia" w:ascii="仿宋_GB2312" w:hAnsi="仿宋_GB2312" w:eastAsia="仿宋_GB2312" w:cs="仿宋_GB2312"/>
          <w:sz w:val="32"/>
          <w:szCs w:val="32"/>
        </w:rPr>
        <w:t>特色产业提质增效。</w:t>
      </w:r>
      <w:r>
        <w:rPr>
          <w:rFonts w:hint="eastAsia" w:ascii="仿宋_GB2312" w:hAnsi="仿宋_GB2312" w:eastAsia="仿宋_GB2312" w:cs="仿宋_GB2312"/>
          <w:sz w:val="32"/>
          <w:szCs w:val="32"/>
          <w:lang w:val="en-US" w:eastAsia="zh-CN"/>
        </w:rPr>
        <w:t>汽车消费亮点突出，</w:t>
      </w:r>
      <w:r>
        <w:rPr>
          <w:rFonts w:hint="eastAsia" w:ascii="仿宋_GB2312" w:hAnsi="仿宋_GB2312" w:eastAsia="仿宋_GB2312" w:cs="仿宋_GB2312"/>
          <w:sz w:val="32"/>
          <w:szCs w:val="32"/>
        </w:rPr>
        <w:t>高标准打造“经十西路汽车产业带”，完成景观带提升一期工程</w:t>
      </w:r>
      <w:r>
        <w:rPr>
          <w:rFonts w:hint="eastAsia" w:ascii="仿宋_GB2312" w:hAnsi="仿宋_GB2312" w:eastAsia="仿宋_GB2312" w:cs="仿宋_GB2312"/>
          <w:sz w:val="32"/>
          <w:szCs w:val="32"/>
          <w:lang w:eastAsia="zh-CN"/>
        </w:rPr>
        <w:t>，精品二手车汽车园区</w:t>
      </w:r>
      <w:r>
        <w:rPr>
          <w:rFonts w:hint="eastAsia" w:ascii="仿宋_GB2312" w:hAnsi="仿宋_GB2312" w:eastAsia="仿宋_GB2312" w:cs="仿宋_GB2312"/>
          <w:sz w:val="32"/>
          <w:szCs w:val="32"/>
          <w:lang w:val="en-US" w:eastAsia="zh-CN"/>
        </w:rPr>
        <w:t>建成投产并实现试营业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成功举办“约惠槐荫·首届惠民车展”、槐荫汽车宠粉节、汽车消费节等系列活动，叫响“要买车，到槐荫”品牌，发放200万元消费券拉动约10亿元汽车交易额。会展产业链条不断完善，美悦云禧、皇冠假日等高端酒店陆续建成使用，会展与餐饮、住宿、购物、旅游等产业联动融合发展态势良好，山东国际会展中心</w:t>
      </w:r>
      <w:r>
        <w:rPr>
          <w:rFonts w:hint="eastAsia" w:ascii="仿宋_GB2312" w:hAnsi="仿宋_GB2312" w:eastAsia="仿宋_GB2312" w:cs="仿宋_GB2312"/>
          <w:sz w:val="32"/>
          <w:szCs w:val="32"/>
          <w:lang w:val="en-US" w:eastAsia="zh-CN"/>
        </w:rPr>
        <w:t>年内共举办</w:t>
      </w:r>
      <w:r>
        <w:rPr>
          <w:rFonts w:hint="eastAsia" w:ascii="仿宋_GB2312" w:hAnsi="仿宋_GB2312" w:eastAsia="仿宋_GB2312" w:cs="仿宋_GB2312"/>
          <w:sz w:val="32"/>
          <w:szCs w:val="32"/>
        </w:rPr>
        <w:t>各类展会61场，吸引群众280万人次。文旅品牌</w:t>
      </w:r>
      <w:r>
        <w:rPr>
          <w:rFonts w:hint="eastAsia" w:ascii="仿宋_GB2312" w:hAnsi="仿宋_GB2312" w:eastAsia="仿宋_GB2312" w:cs="仿宋_GB2312"/>
          <w:sz w:val="32"/>
          <w:szCs w:val="32"/>
          <w:lang w:val="en-US" w:eastAsia="zh-CN"/>
        </w:rPr>
        <w:t>加快</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val="en-US" w:eastAsia="zh-CN"/>
        </w:rPr>
        <w:t>叫响</w:t>
      </w:r>
      <w:r>
        <w:rPr>
          <w:rFonts w:hint="eastAsia" w:ascii="仿宋_GB2312" w:hAnsi="仿宋_GB2312" w:eastAsia="仿宋_GB2312" w:cs="仿宋_GB2312"/>
          <w:sz w:val="32"/>
          <w:szCs w:val="32"/>
        </w:rPr>
        <w:t>“这里最槐荫”文旅品牌，成功举办首届济南国际儿童戏剧节、黄河生态半程马拉松赛、2023金钟之星全国古筝艺术盛典等活动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印象济南·泉世界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阳光100凤凰街</w:t>
      </w:r>
      <w:r>
        <w:rPr>
          <w:rFonts w:hint="eastAsia" w:ascii="仿宋_GB2312" w:hAnsi="仿宋_GB2312" w:eastAsia="仿宋_GB2312" w:cs="仿宋_GB2312"/>
          <w:sz w:val="32"/>
          <w:szCs w:val="32"/>
          <w:lang w:val="en-US" w:eastAsia="zh-CN"/>
        </w:rPr>
        <w:t>分别</w:t>
      </w:r>
      <w:r>
        <w:rPr>
          <w:rFonts w:hint="eastAsia" w:ascii="仿宋_GB2312" w:hAnsi="仿宋_GB2312" w:eastAsia="仿宋_GB2312" w:cs="仿宋_GB2312"/>
          <w:sz w:val="32"/>
          <w:szCs w:val="32"/>
        </w:rPr>
        <w:t>获批“国家级旅游休闲街区”“全国夜间经济示范街”</w:t>
      </w:r>
      <w:r>
        <w:rPr>
          <w:rFonts w:hint="eastAsia" w:ascii="仿宋_GB2312" w:hAnsi="仿宋_GB2312" w:eastAsia="仿宋_GB2312" w:cs="仿宋_GB2312"/>
          <w:sz w:val="32"/>
          <w:szCs w:val="32"/>
          <w:lang w:val="en-US" w:eastAsia="zh-CN"/>
        </w:rPr>
        <w:t>称号</w:t>
      </w:r>
      <w:r>
        <w:rPr>
          <w:rFonts w:hint="eastAsia" w:ascii="仿宋_GB2312" w:hAnsi="仿宋_GB2312" w:eastAsia="仿宋_GB2312" w:cs="仿宋_GB2312"/>
          <w:sz w:val="32"/>
          <w:szCs w:val="32"/>
        </w:rPr>
        <w:t>，我区入选2023年全国市辖区旅游发展潜力百佳区、第四批山东省全域旅游示范区。</w:t>
      </w:r>
      <w:r>
        <w:rPr>
          <w:rFonts w:hint="default" w:ascii="仿宋_GB2312" w:hAnsi="仿宋_GB2312" w:eastAsia="仿宋_GB2312" w:cs="仿宋_GB2312"/>
          <w:sz w:val="32"/>
          <w:szCs w:val="32"/>
          <w:lang w:val="en-US" w:eastAsia="zh-CN"/>
        </w:rPr>
        <w:t>③</w:t>
      </w:r>
      <w:r>
        <w:rPr>
          <w:rFonts w:hint="eastAsia" w:ascii="仿宋_GB2312" w:hAnsi="仿宋_GB2312" w:eastAsia="仿宋_GB2312" w:cs="仿宋_GB2312"/>
          <w:sz w:val="32"/>
          <w:szCs w:val="32"/>
        </w:rPr>
        <w:t>支撑产业快速起势。</w:t>
      </w:r>
      <w:r>
        <w:rPr>
          <w:rFonts w:hint="eastAsia" w:ascii="仿宋_GB2312" w:hAnsi="仿宋_GB2312" w:eastAsia="仿宋_GB2312" w:cs="仿宋_GB2312"/>
          <w:sz w:val="32"/>
          <w:szCs w:val="32"/>
          <w:lang w:eastAsia="zh-CN"/>
        </w:rPr>
        <w:t>中铁快运、象屿炜杰等物流企业加快壮大，</w:t>
      </w:r>
      <w:r>
        <w:rPr>
          <w:rFonts w:hint="eastAsia" w:ascii="仿宋_GB2312" w:hAnsi="仿宋_GB2312" w:eastAsia="仿宋_GB2312" w:cs="仿宋_GB2312"/>
          <w:sz w:val="32"/>
          <w:szCs w:val="32"/>
          <w:lang w:val="en-US" w:eastAsia="zh-CN"/>
        </w:rPr>
        <w:t>京台高速济南西储运中心项目竣工，规模以上物流企业营业收入增长42.9%。</w:t>
      </w:r>
      <w:r>
        <w:rPr>
          <w:rFonts w:hint="eastAsia" w:ascii="仿宋_GB2312" w:hAnsi="仿宋_GB2312" w:eastAsia="仿宋_GB2312" w:cs="仿宋_GB2312"/>
          <w:sz w:val="32"/>
          <w:szCs w:val="32"/>
        </w:rPr>
        <w:t>山东数字金融产业园累计入驻金融类企业9</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家，基金管理规模231亿元，山东润</w:t>
      </w:r>
      <w:r>
        <w:rPr>
          <w:rFonts w:hint="eastAsia" w:ascii="仿宋_GB2312" w:hAnsi="仿宋_GB2312" w:eastAsia="仿宋_GB2312" w:cs="仿宋_GB2312"/>
          <w:sz w:val="32"/>
          <w:szCs w:val="32"/>
          <w:lang w:val="en-US" w:eastAsia="zh-CN"/>
        </w:rPr>
        <w:t>华</w:t>
      </w:r>
      <w:r>
        <w:rPr>
          <w:rFonts w:hint="eastAsia" w:ascii="仿宋_GB2312" w:hAnsi="仿宋_GB2312" w:eastAsia="仿宋_GB2312" w:cs="仿宋_GB2312"/>
          <w:sz w:val="32"/>
          <w:szCs w:val="32"/>
        </w:rPr>
        <w:t>物业管理有限公司在港交所成功上市，我区连续两年实现山东省企业上市“开门红”。</w:t>
      </w:r>
    </w:p>
    <w:p>
      <w:pPr>
        <w:pStyle w:val="3"/>
        <w:spacing w:after="0"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（三）项目建设赋能添翼。</w:t>
      </w:r>
      <w:r>
        <w:rPr>
          <w:rFonts w:hint="eastAsia" w:ascii="仿宋_GB2312" w:hAnsi="仿宋_GB2312" w:eastAsia="仿宋_GB2312" w:cs="仿宋_GB2312"/>
          <w:sz w:val="32"/>
          <w:szCs w:val="32"/>
          <w:lang w:val="en-US" w:eastAsia="zh-CN"/>
        </w:rPr>
        <w:t>坚决落实“项目突破年”部署，高质量实施“抓项目强产业攻坚提升年”行动，制发《贯彻落实市发展改革系统“项目突破年”行动方案》，下沉企业，纾困解难，全力推动总投资3141亿元，216个新旧动能转换绿色低碳高质量发展重点项目加快建设。全年开工在建项目135个，18个省、市级重点项目年度计划投资完成率均</w:t>
      </w:r>
      <w:r>
        <w:rPr>
          <w:rFonts w:hint="eastAsia" w:ascii="仿宋_GB2312" w:hAnsi="仿宋_GB2312" w:eastAsia="仿宋_GB2312" w:cs="仿宋_GB2312"/>
          <w:sz w:val="32"/>
          <w:szCs w:val="32"/>
          <w:highlight w:val="none"/>
          <w:lang w:val="en-US" w:eastAsia="zh-CN"/>
        </w:rPr>
        <w:t>超过100%</w:t>
      </w:r>
      <w:r>
        <w:rPr>
          <w:rFonts w:hint="eastAsia" w:ascii="仿宋_GB2312" w:hAnsi="仿宋_GB2312" w:eastAsia="仿宋_GB2312" w:cs="仿宋_GB2312"/>
          <w:sz w:val="32"/>
          <w:szCs w:val="32"/>
          <w:lang w:val="en-US" w:eastAsia="zh-CN"/>
        </w:rPr>
        <w:t>，数量及投资量均创历年新高。投资增速强势回升，连续11个月实现两位数高速增长。产业项目加快推进，济南先进材料智造港项目顺利开工，全区在建过百亿元项目达到4个；医疗硅谷、远大购物广场、广安门济南医院、均和云谷一期等项目进展顺利；山东大学国际医院、万融云城等项目加快建设；国网山东电力生产检修建设基地、济南市应急救援储备中心等25个项目顺利竣工。项目策划储备全面深化，建立区项目策划储备工作联席会议制度，全年新策划项目189个，已开工60个。其中，新一代信息技术、先进材料等产业类项目140个，总投资889亿元。山东力冠微电子生产线、</w:t>
      </w:r>
      <w:r>
        <w:rPr>
          <w:rFonts w:hint="eastAsia" w:ascii="仿宋_GB2312" w:hAnsi="仿宋_GB2312" w:eastAsia="仿宋_GB2312" w:cs="仿宋_GB2312"/>
          <w:sz w:val="32"/>
          <w:szCs w:val="32"/>
          <w:highlight w:val="none"/>
          <w:lang w:val="en-US" w:eastAsia="zh-CN"/>
        </w:rPr>
        <w:t>槐荫医院</w:t>
      </w:r>
      <w:r>
        <w:rPr>
          <w:rFonts w:hint="eastAsia" w:ascii="仿宋_GB2312" w:hAnsi="仿宋_GB2312" w:eastAsia="仿宋_GB2312" w:cs="仿宋_GB2312"/>
          <w:sz w:val="32"/>
          <w:szCs w:val="32"/>
          <w:lang w:val="en-US" w:eastAsia="zh-CN"/>
        </w:rPr>
        <w:t>亚定点医院改造及新冠应急救治能力提升等10个项目实现当年策划、当年开工、当年投产。清风护航重点项目，深化运用“一台账、两清单”工作机制，创新使用“码上监督”，破除制约广安门济南医院、中科创新广场、重离子中心（机房区）以及市疾控中心迁建项目进度的关键掣肘。积极争取项目资金支持，市区两级18个项目获得地方政府专项债批复68.1亿元，其中老旧小区改造、农村人居环境整治提升等项目获得11.6亿元专项债资金</w:t>
      </w:r>
      <w:r>
        <w:rPr>
          <w:rFonts w:hint="eastAsia" w:ascii="仿宋_GB2312" w:hAnsi="仿宋_GB2312" w:eastAsia="仿宋_GB2312" w:cs="仿宋_GB2312"/>
          <w:color w:val="auto"/>
          <w:sz w:val="32"/>
          <w:szCs w:val="32"/>
          <w:lang w:val="en-US" w:eastAsia="zh-CN"/>
        </w:rPr>
        <w:t>额度</w:t>
      </w:r>
      <w:r>
        <w:rPr>
          <w:rFonts w:hint="eastAsia" w:ascii="仿宋_GB2312" w:hAnsi="仿宋_GB2312" w:eastAsia="仿宋_GB2312" w:cs="仿宋_GB2312"/>
          <w:sz w:val="32"/>
          <w:szCs w:val="32"/>
          <w:lang w:val="en-US" w:eastAsia="zh-CN"/>
        </w:rPr>
        <w:t>，为项目建设提供有效资金保障。</w:t>
      </w:r>
    </w:p>
    <w:p>
      <w:pPr>
        <w:pStyle w:val="3"/>
        <w:spacing w:after="0"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双招双引</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质效双升</w:t>
      </w:r>
      <w:r>
        <w:rPr>
          <w:rFonts w:hint="eastAsia" w:ascii="仿宋_GB2312" w:hAnsi="仿宋_GB2312" w:eastAsia="仿宋_GB2312" w:cs="仿宋_GB2312"/>
          <w:sz w:val="32"/>
          <w:szCs w:val="32"/>
        </w:rPr>
        <w:t>。实施招商引资“九大行动”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创新推出招商引资快速决策、项目研判群组化一周办结等制度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组织策划2023槐荫区“双招双引”推介大会暨重点项目签约仪式、京珠长优秀企业考察团到槐荫考察调研等各类招商活动4</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场，签约落地</w:t>
      </w:r>
      <w:r>
        <w:rPr>
          <w:rFonts w:hint="eastAsia" w:ascii="仿宋_GB2312" w:hAnsi="仿宋_GB2312" w:eastAsia="仿宋_GB2312" w:cs="仿宋_GB2312"/>
          <w:sz w:val="32"/>
          <w:szCs w:val="32"/>
          <w:lang w:val="en-US" w:eastAsia="zh-CN"/>
        </w:rPr>
        <w:t>京东健康互联网医院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凡知制造产业园</w:t>
      </w:r>
      <w:r>
        <w:rPr>
          <w:rFonts w:hint="eastAsia" w:ascii="仿宋_GB2312" w:hAnsi="仿宋_GB2312" w:eastAsia="仿宋_GB2312" w:cs="仿宋_GB2312"/>
          <w:sz w:val="32"/>
          <w:szCs w:val="32"/>
        </w:rPr>
        <w:t>、华润（山东）医疗器械等项目145个。成功举办科技嘉年华暨科技成果转化高峰论坛，落地科技成果转化企业20余家。人力资源服务产业园正式开园，红海人力等20余家优质企业签约入园。围绕半导体“一号产业”制定招商路线图，设立全市首支开发区半导体产业引导基金，策划储备深圳大族激光切割项目、苏州博莱纳润CPM材料等链式项目30余个，落地力冠微电子等10个项目，吸附23家上下游配套企业实现链式集群发展。</w:t>
      </w:r>
    </w:p>
    <w:p>
      <w:pPr>
        <w:pStyle w:val="3"/>
        <w:spacing w:after="0"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（五）乡村振兴全面发力。</w:t>
      </w:r>
      <w:r>
        <w:rPr>
          <w:rFonts w:hint="eastAsia" w:ascii="仿宋_GB2312" w:hAnsi="仿宋_GB2312" w:eastAsia="仿宋_GB2312" w:cs="仿宋_GB2312"/>
          <w:sz w:val="32"/>
          <w:szCs w:val="32"/>
        </w:rPr>
        <w:t>扛牢稳产保供责任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打造5000亩粮食生产功能区，完成6个300亩“吨粮田”示范方建设，“槐荫四宝”种植面积较去年增长20%，成为全国民营企业500强峰会专供产品，水稻种植核心区土地经营规模化率100%。大力实施品牌强农工程，成功发布“槐乡厚礼”“河创田园”乡村品牌，自主品牌“济香1号”“济香2号”在三省六地实现规模化种植。高标准建设市级第一批美丽乡村先行片区，16个村获评全市和美乡村和泉韵乡居村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农村人居环境整治提升</w:t>
      </w:r>
      <w:r>
        <w:rPr>
          <w:rFonts w:hint="eastAsia" w:ascii="仿宋_GB2312" w:hAnsi="仿宋_GB2312" w:eastAsia="仿宋_GB2312" w:cs="仿宋_GB2312"/>
          <w:sz w:val="32"/>
          <w:szCs w:val="32"/>
          <w:lang w:val="en-US" w:eastAsia="zh-CN"/>
        </w:rPr>
        <w:t>工作全市考核排名第一</w:t>
      </w:r>
      <w:r>
        <w:rPr>
          <w:rFonts w:hint="eastAsia" w:ascii="仿宋_GB2312" w:hAnsi="仿宋_GB2312" w:eastAsia="仿宋_GB2312" w:cs="仿宋_GB2312"/>
          <w:sz w:val="32"/>
          <w:szCs w:val="32"/>
        </w:rPr>
        <w:t>。深入推进农村“三变”改革，“共富公司”典型案例被全市推广，舜耕农机专业合作社被评为省级新型农业经营主体。全力推进“一心两园”渔业产业项目，成功创建3个渔业保供园，签约落地渔立方科创园。</w:t>
      </w:r>
    </w:p>
    <w:p>
      <w:pPr>
        <w:pStyle w:val="3"/>
        <w:spacing w:after="0" w:line="62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（六）黄河战略纵深推进。</w:t>
      </w:r>
      <w:r>
        <w:rPr>
          <w:rFonts w:hint="eastAsia" w:ascii="仿宋_GB2312" w:hAnsi="仿宋_GB2312" w:eastAsia="仿宋_GB2312" w:cs="仿宋_GB2312"/>
          <w:sz w:val="32"/>
          <w:szCs w:val="32"/>
          <w:lang w:eastAsia="zh-CN"/>
        </w:rPr>
        <w:t>筑牢保障黄河安澜新防线，腊山河综合整治工程完成施工。加强生态保护修复，推进“无废城市”建设，持续开展水土保持三年强基行动，扎实推进植树绿化及黄河流域水生生物增殖放流，不断强化河道巡查力度，</w:t>
      </w:r>
      <w:r>
        <w:rPr>
          <w:rFonts w:hint="eastAsia" w:ascii="仿宋_GB2312" w:hAnsi="仿宋_GB2312" w:eastAsia="仿宋_GB2312" w:cs="仿宋_GB2312"/>
          <w:sz w:val="32"/>
          <w:szCs w:val="32"/>
          <w:lang w:val="en-US" w:eastAsia="zh-CN"/>
        </w:rPr>
        <w:t>坚决打好蓝天碧水净土保卫战，</w:t>
      </w:r>
      <w:r>
        <w:rPr>
          <w:rFonts w:hint="eastAsia" w:ascii="仿宋_GB2312" w:hAnsi="仿宋_GB2312" w:eastAsia="仿宋_GB2312" w:cs="仿宋_GB2312"/>
          <w:sz w:val="32"/>
          <w:szCs w:val="32"/>
          <w:lang w:eastAsia="zh-CN"/>
        </w:rPr>
        <w:t>我区空气质量</w:t>
      </w:r>
      <w:r>
        <w:rPr>
          <w:rFonts w:hint="eastAsia" w:ascii="仿宋_GB2312" w:hAnsi="仿宋_GB2312" w:eastAsia="仿宋_GB2312" w:cs="仿宋_GB2312"/>
          <w:sz w:val="32"/>
          <w:szCs w:val="32"/>
          <w:lang w:val="en-US" w:eastAsia="zh-CN"/>
        </w:rPr>
        <w:t>得到</w:t>
      </w:r>
      <w:r>
        <w:rPr>
          <w:rFonts w:hint="eastAsia" w:ascii="仿宋_GB2312" w:hAnsi="仿宋_GB2312" w:eastAsia="仿宋_GB2312" w:cs="仿宋_GB2312"/>
          <w:sz w:val="32"/>
          <w:szCs w:val="32"/>
          <w:lang w:eastAsia="zh-CN"/>
        </w:rPr>
        <w:t>持续改善，PM2.5浓度、优良天数、重污染天数控制等约束性指标均完成市定目标，被评为全国第七批生态文明建设示范区。落实“四水四定”，年黄河干流全区用水总量、农业引黄用水总量完成引水任务，我区获评全国节水型社会建设达标县（区）。</w:t>
      </w:r>
      <w:r>
        <w:rPr>
          <w:rFonts w:hint="eastAsia" w:ascii="仿宋_GB2312" w:hAnsi="仿宋_GB2312" w:eastAsia="仿宋_GB2312" w:cs="仿宋_GB2312"/>
          <w:sz w:val="32"/>
          <w:szCs w:val="32"/>
          <w:lang w:val="en-US" w:eastAsia="zh-CN"/>
        </w:rPr>
        <w:t>打造</w:t>
      </w:r>
      <w:r>
        <w:rPr>
          <w:rFonts w:hint="eastAsia" w:ascii="仿宋_GB2312" w:hAnsi="仿宋_GB2312" w:eastAsia="仿宋_GB2312" w:cs="仿宋_GB2312"/>
          <w:sz w:val="32"/>
          <w:szCs w:val="32"/>
          <w:lang w:eastAsia="zh-CN"/>
        </w:rPr>
        <w:t>宜居生态环境，新建腊山河公园、经十西路汽车主题公园等8处</w:t>
      </w:r>
      <w:r>
        <w:rPr>
          <w:rFonts w:hint="eastAsia" w:ascii="仿宋_GB2312" w:hAnsi="仿宋_GB2312" w:eastAsia="仿宋_GB2312" w:cs="仿宋_GB2312"/>
          <w:sz w:val="32"/>
          <w:szCs w:val="32"/>
          <w:lang w:val="en-US" w:eastAsia="zh-CN"/>
        </w:rPr>
        <w:t>公园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打造6.5公里腊山河绿道，</w:t>
      </w:r>
      <w:r>
        <w:rPr>
          <w:rFonts w:hint="eastAsia" w:ascii="仿宋_GB2312" w:hAnsi="仿宋_GB2312" w:eastAsia="仿宋_GB2312" w:cs="仿宋_GB2312"/>
          <w:sz w:val="32"/>
          <w:szCs w:val="32"/>
          <w:lang w:eastAsia="zh-CN"/>
        </w:rPr>
        <w:t>新能源新增并网容量1.7万千瓦，新建汽车充电桩4000余个。发挥黄河流域中心城市辐射带动作用，加快建设沿黄生态廊道，纵深推进省会经济圈一体化发展及黄河流域省会城市间“异地认证互认”。积极稳妥推进碳达峰碳中和，构建“双碳”政策体系，加强产业结构调整和全社会节能。以槐荫经济开发区循环化改造为契机，推进全区循环经济发展和绿色低碳转型，槐荫经济开发区</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eastAsia="zh-CN"/>
        </w:rPr>
        <w:t>济南二机床</w:t>
      </w:r>
      <w:r>
        <w:rPr>
          <w:rFonts w:hint="eastAsia" w:ascii="仿宋_GB2312" w:hAnsi="仿宋_GB2312" w:eastAsia="仿宋_GB2312" w:cs="仿宋_GB2312"/>
          <w:sz w:val="32"/>
          <w:szCs w:val="32"/>
          <w:lang w:val="en-US" w:eastAsia="zh-CN"/>
        </w:rPr>
        <w:t>分别获批</w:t>
      </w:r>
      <w:r>
        <w:rPr>
          <w:rFonts w:hint="eastAsia" w:ascii="仿宋_GB2312" w:hAnsi="仿宋_GB2312" w:eastAsia="仿宋_GB2312" w:cs="仿宋_GB2312"/>
          <w:sz w:val="32"/>
          <w:szCs w:val="32"/>
          <w:lang w:eastAsia="zh-CN"/>
        </w:rPr>
        <w:t>全市唯一国家级绿色工业园区</w:t>
      </w:r>
      <w:r>
        <w:rPr>
          <w:rFonts w:hint="eastAsia" w:ascii="仿宋_GB2312" w:hAnsi="仿宋_GB2312" w:eastAsia="仿宋_GB2312" w:cs="仿宋_GB2312"/>
          <w:sz w:val="32"/>
          <w:szCs w:val="32"/>
          <w:lang w:val="en-US" w:eastAsia="zh-CN"/>
        </w:rPr>
        <w:t>称号</w:t>
      </w:r>
      <w:r>
        <w:rPr>
          <w:rFonts w:hint="eastAsia" w:ascii="仿宋_GB2312" w:hAnsi="仿宋_GB2312" w:eastAsia="仿宋_GB2312" w:cs="仿宋_GB2312"/>
          <w:sz w:val="32"/>
          <w:szCs w:val="32"/>
          <w:lang w:eastAsia="zh-CN"/>
        </w:rPr>
        <w:t>，全区首家国家级绿色工厂及</w:t>
      </w:r>
      <w:r>
        <w:rPr>
          <w:rFonts w:hint="eastAsia" w:ascii="仿宋_GB2312" w:hAnsi="仿宋_GB2312" w:eastAsia="仿宋_GB2312" w:cs="仿宋_GB2312"/>
          <w:sz w:val="32"/>
          <w:szCs w:val="32"/>
          <w:lang w:val="en-US" w:eastAsia="zh-CN"/>
        </w:rPr>
        <w:t>第八批</w:t>
      </w:r>
      <w:r>
        <w:rPr>
          <w:rFonts w:hint="eastAsia" w:ascii="仿宋_GB2312" w:hAnsi="仿宋_GB2312" w:eastAsia="仿宋_GB2312" w:cs="仿宋_GB2312"/>
          <w:sz w:val="32"/>
          <w:szCs w:val="32"/>
          <w:lang w:eastAsia="zh-CN"/>
        </w:rPr>
        <w:t>国家级绿色供应链管理企业</w:t>
      </w:r>
      <w:r>
        <w:rPr>
          <w:rFonts w:hint="eastAsia" w:ascii="仿宋_GB2312" w:hAnsi="仿宋_GB2312" w:eastAsia="仿宋_GB2312" w:cs="仿宋_GB2312"/>
          <w:sz w:val="32"/>
          <w:szCs w:val="32"/>
          <w:lang w:val="en-US" w:eastAsia="zh-CN"/>
        </w:rPr>
        <w:t>称号</w:t>
      </w:r>
      <w:r>
        <w:rPr>
          <w:rFonts w:hint="eastAsia" w:ascii="仿宋_GB2312" w:hAnsi="仿宋_GB2312" w:eastAsia="仿宋_GB2312" w:cs="仿宋_GB2312"/>
          <w:sz w:val="32"/>
          <w:szCs w:val="32"/>
          <w:lang w:eastAsia="zh-CN"/>
        </w:rPr>
        <w:t>；九阳及济南二机床</w:t>
      </w:r>
      <w:r>
        <w:rPr>
          <w:rFonts w:hint="eastAsia" w:ascii="仿宋_GB2312" w:hAnsi="仿宋_GB2312" w:eastAsia="仿宋_GB2312" w:cs="仿宋_GB2312"/>
          <w:sz w:val="32"/>
          <w:szCs w:val="32"/>
          <w:lang w:val="en-US" w:eastAsia="zh-CN"/>
        </w:rPr>
        <w:t>均入选</w:t>
      </w:r>
      <w:r>
        <w:rPr>
          <w:rFonts w:hint="eastAsia" w:ascii="仿宋_GB2312" w:hAnsi="仿宋_GB2312" w:eastAsia="仿宋_GB2312" w:cs="仿宋_GB2312"/>
          <w:sz w:val="32"/>
          <w:szCs w:val="32"/>
          <w:lang w:eastAsia="zh-CN"/>
        </w:rPr>
        <w:t>首批山东省绿色低碳高质量发展企业试点。</w:t>
      </w:r>
    </w:p>
    <w:p>
      <w:pPr>
        <w:pStyle w:val="3"/>
        <w:spacing w:after="0" w:line="62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七</w:t>
      </w:r>
      <w:r>
        <w:rPr>
          <w:rFonts w:hint="eastAsia" w:ascii="楷体_GB2312" w:hAnsi="楷体_GB2312" w:eastAsia="楷体_GB2312" w:cs="楷体_GB2312"/>
          <w:sz w:val="32"/>
          <w:szCs w:val="32"/>
        </w:rPr>
        <w:t>）城市建设蹄疾步稳。</w:t>
      </w:r>
      <w:r>
        <w:rPr>
          <w:rFonts w:hint="eastAsia" w:ascii="仿宋_GB2312" w:hAnsi="仿宋_GB2312" w:eastAsia="仿宋_GB2312" w:cs="仿宋_GB2312"/>
          <w:sz w:val="32"/>
          <w:szCs w:val="32"/>
        </w:rPr>
        <w:t>高质量宜商环境</w:t>
      </w:r>
      <w:r>
        <w:rPr>
          <w:rFonts w:hint="eastAsia" w:ascii="仿宋_GB2312" w:hAnsi="仿宋_GB2312" w:eastAsia="仿宋_GB2312" w:cs="仿宋_GB2312"/>
          <w:sz w:val="32"/>
          <w:szCs w:val="32"/>
          <w:lang w:eastAsia="zh-CN"/>
        </w:rPr>
        <w:t>日益</w:t>
      </w:r>
      <w:r>
        <w:rPr>
          <w:rFonts w:hint="eastAsia" w:ascii="仿宋_GB2312" w:hAnsi="仿宋_GB2312" w:eastAsia="仿宋_GB2312" w:cs="仿宋_GB2312"/>
          <w:sz w:val="32"/>
          <w:szCs w:val="32"/>
        </w:rPr>
        <w:t>完善，深化“齐鲁之窗”建设，开展“齐鲁之窗宜直播”系列活动，创新制定《“宜商槐荫”十八条》，在全省率先打造集信息共享、回访服务、企业画像、诉求收集、业态展示为一体的“宜商服务系统”。</w:t>
      </w:r>
      <w:r>
        <w:rPr>
          <w:rFonts w:hint="eastAsia" w:ascii="仿宋_GB2312" w:hAnsi="仿宋_GB2312" w:eastAsia="仿宋_GB2312" w:cs="仿宋_GB2312"/>
          <w:sz w:val="32"/>
          <w:szCs w:val="32"/>
          <w:lang w:eastAsia="zh-CN"/>
        </w:rPr>
        <w:t>“数字槐荫”建设有序开展，全力打造善感知、会思考、有温度的新型智慧城区样板，建设标杆性智慧社区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处，基础型智慧社区</w:t>
      </w:r>
      <w:r>
        <w:rPr>
          <w:rFonts w:hint="eastAsia" w:ascii="仿宋_GB2312" w:hAnsi="仿宋_GB2312" w:eastAsia="仿宋_GB2312" w:cs="仿宋_GB2312"/>
          <w:sz w:val="32"/>
          <w:szCs w:val="32"/>
          <w:lang w:val="en-US" w:eastAsia="zh-CN"/>
        </w:rPr>
        <w:t>10处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城市更新步伐</w:t>
      </w:r>
      <w:r>
        <w:rPr>
          <w:rFonts w:hint="eastAsia" w:ascii="仿宋_GB2312" w:hAnsi="仿宋_GB2312" w:eastAsia="仿宋_GB2312" w:cs="仿宋_GB2312"/>
          <w:sz w:val="32"/>
          <w:szCs w:val="32"/>
          <w:lang w:eastAsia="zh-CN"/>
        </w:rPr>
        <w:t>持续</w:t>
      </w:r>
      <w:r>
        <w:rPr>
          <w:rFonts w:hint="eastAsia" w:ascii="仿宋_GB2312" w:hAnsi="仿宋_GB2312" w:eastAsia="仿宋_GB2312" w:cs="仿宋_GB2312"/>
          <w:sz w:val="32"/>
          <w:szCs w:val="32"/>
        </w:rPr>
        <w:t>加快，</w:t>
      </w:r>
      <w:r>
        <w:rPr>
          <w:rFonts w:hint="eastAsia" w:ascii="仿宋_GB2312" w:hAnsi="仿宋_GB2312" w:eastAsia="仿宋_GB2312" w:cs="仿宋_GB2312"/>
          <w:sz w:val="32"/>
          <w:szCs w:val="32"/>
          <w:lang w:val="en-US" w:eastAsia="zh-CN"/>
        </w:rPr>
        <w:t>全年完成土地供应51宗，4727.8亩</w:t>
      </w:r>
      <w:r>
        <w:rPr>
          <w:rFonts w:hint="eastAsia" w:ascii="仿宋_GB2312" w:hAnsi="仿宋_GB2312" w:eastAsia="仿宋_GB2312" w:cs="仿宋_GB2312"/>
          <w:sz w:val="32"/>
          <w:szCs w:val="32"/>
        </w:rPr>
        <w:t>；张刘片区A4地块、济空招待二所宿舍、齐鲁大道北延、医学中心安置五区、经一纬十二东三角地等项目实现遗留户清零；市立五院周边片区城市更新项目一期征收工作圆满完成；五里牌坊棚户区二期改造项目完成集中回迁安置；总投资20亿元的轨道交通与公交枢纽综合体项目落地建设；</w:t>
      </w:r>
      <w:r>
        <w:rPr>
          <w:rFonts w:hint="eastAsia" w:ascii="仿宋_GB2312" w:hAnsi="仿宋_GB2312" w:eastAsia="仿宋_GB2312" w:cs="仿宋_GB2312"/>
          <w:sz w:val="32"/>
          <w:szCs w:val="32"/>
          <w:lang w:eastAsia="zh-CN"/>
        </w:rPr>
        <w:t>石横</w:t>
      </w:r>
      <w:r>
        <w:rPr>
          <w:rFonts w:hint="eastAsia" w:ascii="仿宋_GB2312" w:hAnsi="仿宋_GB2312" w:eastAsia="仿宋_GB2312" w:cs="仿宋_GB2312"/>
          <w:sz w:val="32"/>
          <w:szCs w:val="32"/>
        </w:rPr>
        <w:t>外热入济项目（槐荫段）主干线全面贯通。区域路网结构不断完善，济郑高铁槐荫段建设完成，顺利实现通车运行。城市品质提档升级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rPr>
        <w:t>8个片区、121栋住宅楼老旧小区改造工程，惠及居民5680户。加强“红色物业”建设，我区专业化物业服务覆盖率达到9</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%，物业管理</w:t>
      </w:r>
      <w:r>
        <w:rPr>
          <w:rFonts w:hint="eastAsia" w:ascii="仿宋_GB2312" w:hAnsi="仿宋_GB2312" w:eastAsia="仿宋_GB2312" w:cs="仿宋_GB2312"/>
          <w:sz w:val="32"/>
          <w:szCs w:val="32"/>
          <w:lang w:val="en-US" w:eastAsia="zh-CN"/>
        </w:rPr>
        <w:t>领域</w:t>
      </w:r>
      <w:r>
        <w:rPr>
          <w:rFonts w:hint="eastAsia" w:ascii="仿宋_GB2312" w:hAnsi="仿宋_GB2312" w:eastAsia="仿宋_GB2312" w:cs="仿宋_GB2312"/>
          <w:sz w:val="32"/>
          <w:szCs w:val="32"/>
        </w:rPr>
        <w:t>诉前调解工作受到国家住建部调研关注。</w:t>
      </w:r>
    </w:p>
    <w:p>
      <w:pPr>
        <w:pStyle w:val="3"/>
        <w:spacing w:after="0"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八</w:t>
      </w:r>
      <w:r>
        <w:rPr>
          <w:rFonts w:hint="eastAsia" w:ascii="楷体_GB2312" w:hAnsi="楷体_GB2312" w:eastAsia="楷体_GB2312" w:cs="楷体_GB2312"/>
          <w:sz w:val="32"/>
          <w:szCs w:val="32"/>
        </w:rPr>
        <w:t>）创新引擎动力澎湃。</w:t>
      </w:r>
      <w:r>
        <w:rPr>
          <w:rFonts w:hint="eastAsia" w:ascii="仿宋_GB2312" w:hAnsi="仿宋_GB2312" w:eastAsia="仿宋_GB2312" w:cs="仿宋_GB2312"/>
          <w:sz w:val="32"/>
          <w:szCs w:val="32"/>
        </w:rPr>
        <w:t>企业创新能力不断提升，全社会R&amp;D经费支出突破13亿元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全区科技型中小入库企业达到422家，高新技术企业达到348家；</w:t>
      </w:r>
      <w:r>
        <w:rPr>
          <w:rFonts w:hint="eastAsia" w:ascii="仿宋_GB2312" w:hAnsi="仿宋_GB2312" w:eastAsia="仿宋_GB2312" w:cs="仿宋_GB2312"/>
          <w:sz w:val="32"/>
          <w:szCs w:val="32"/>
          <w:lang w:eastAsia="zh-CN"/>
        </w:rPr>
        <w:t>济南二机床成功重组全国重点实验室，</w:t>
      </w:r>
      <w:r>
        <w:rPr>
          <w:rFonts w:hint="eastAsia" w:ascii="仿宋_GB2312" w:hAnsi="仿宋_GB2312" w:eastAsia="仿宋_GB2312" w:cs="仿宋_GB2312"/>
          <w:sz w:val="32"/>
          <w:szCs w:val="32"/>
        </w:rPr>
        <w:t>山东天岳获批省技术创新中心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济南利江自动化设备有限公司等8家企业的10个产品认定为省（市）级首台（套）技术装备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年内</w:t>
      </w:r>
      <w:r>
        <w:rPr>
          <w:rFonts w:hint="eastAsia" w:ascii="仿宋_GB2312" w:hAnsi="仿宋_GB2312" w:eastAsia="仿宋_GB2312" w:cs="仿宋_GB2312"/>
          <w:sz w:val="32"/>
          <w:szCs w:val="32"/>
        </w:rPr>
        <w:t>新培育专精特新（小巨人）、瞪羚等高成长型中小企业35家。“双创”基地建设不断取得突破，山东科创（槐荫）基地被认定为省级科技企业孵化载体，落地企业130家，其中科技型企业90家（含高新技术企业10家）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年新增认定/备案（新序列管理）市级及以上各类创新平台53家。创新人才高地加速建成，全区人才总量达18.8万人，其中，入选国家级重点人才工程6人、省级领军人才65人，新认定D类以上人才118人、优秀专业人才2661人，新引进博士生230人、青年人才1.5万余人。</w:t>
      </w:r>
      <w:r>
        <w:rPr>
          <w:rFonts w:hint="eastAsia" w:ascii="仿宋_GB2312" w:hAnsi="仿宋_GB2312" w:eastAsia="仿宋_GB2312" w:cs="仿宋_GB2312"/>
          <w:sz w:val="32"/>
          <w:szCs w:val="32"/>
          <w:lang w:val="en-US" w:eastAsia="zh-CN"/>
        </w:rPr>
        <w:t>产业数字化进程不断加快</w:t>
      </w:r>
      <w:r>
        <w:rPr>
          <w:rFonts w:hint="eastAsia" w:ascii="仿宋_GB2312" w:hAnsi="仿宋_GB2312" w:eastAsia="仿宋_GB2312" w:cs="仿宋_GB2312"/>
          <w:sz w:val="32"/>
          <w:szCs w:val="32"/>
        </w:rPr>
        <w:t>，新增5G基站992处，累计建设开通4927处，上云企业达到6000家。总部经济、楼宇经济发展日渐起势，年内新增省级服务业创新中心</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市级总部企业1家，市级储备特色产业楼宇1处。直播电商快速发展，</w:t>
      </w:r>
      <w:r>
        <w:rPr>
          <w:rFonts w:ascii="仿宋_GB2312" w:hAnsi="仿宋_GB2312" w:eastAsia="仿宋_GB2312" w:cs="仿宋_GB2312"/>
          <w:sz w:val="32"/>
          <w:szCs w:val="32"/>
        </w:rPr>
        <w:t>九阳、开创集团等</w:t>
      </w:r>
      <w:r>
        <w:rPr>
          <w:rFonts w:hint="eastAsia" w:ascii="仿宋_GB2312" w:hAnsi="仿宋_GB2312" w:eastAsia="仿宋_GB2312" w:cs="仿宋_GB2312"/>
          <w:sz w:val="32"/>
          <w:szCs w:val="32"/>
        </w:rPr>
        <w:t>2家企业</w:t>
      </w:r>
      <w:r>
        <w:rPr>
          <w:rFonts w:hint="eastAsia" w:ascii="仿宋_GB2312" w:hAnsi="仿宋_GB2312" w:eastAsia="仿宋_GB2312" w:cs="仿宋_GB2312"/>
          <w:sz w:val="32"/>
          <w:szCs w:val="32"/>
          <w:lang w:val="en-US" w:eastAsia="zh-CN"/>
        </w:rPr>
        <w:t>入选国家级</w:t>
      </w:r>
      <w:r>
        <w:rPr>
          <w:rFonts w:hint="eastAsia" w:ascii="仿宋_GB2312" w:hAnsi="仿宋_GB2312" w:eastAsia="仿宋_GB2312" w:cs="仿宋_GB2312"/>
          <w:sz w:val="32"/>
          <w:szCs w:val="32"/>
        </w:rPr>
        <w:t>电子商务示范企业</w:t>
      </w:r>
      <w:r>
        <w:rPr>
          <w:rFonts w:hint="eastAsia" w:ascii="仿宋_GB2312" w:hAnsi="仿宋_GB2312" w:eastAsia="仿宋_GB2312" w:cs="仿宋_GB2312"/>
          <w:sz w:val="32"/>
          <w:szCs w:val="32"/>
          <w:lang w:val="en-US" w:eastAsia="zh-CN"/>
        </w:rPr>
        <w:t>名单</w:t>
      </w:r>
      <w:r>
        <w:rPr>
          <w:rFonts w:hint="eastAsia" w:ascii="仿宋_GB2312" w:hAnsi="仿宋_GB2312" w:eastAsia="仿宋_GB2312" w:cs="仿宋_GB2312"/>
          <w:sz w:val="32"/>
          <w:szCs w:val="32"/>
        </w:rPr>
        <w:t>。</w:t>
      </w:r>
    </w:p>
    <w:p>
      <w:pPr>
        <w:pStyle w:val="3"/>
        <w:spacing w:after="0" w:line="620" w:lineRule="exact"/>
        <w:ind w:firstLine="640"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九</w:t>
      </w:r>
      <w:r>
        <w:rPr>
          <w:rFonts w:hint="eastAsia" w:ascii="楷体_GB2312" w:hAnsi="楷体_GB2312" w:eastAsia="楷体_GB2312" w:cs="楷体_GB2312"/>
          <w:sz w:val="32"/>
          <w:szCs w:val="32"/>
        </w:rPr>
        <w:t>）民生保障有力有效。</w:t>
      </w:r>
      <w:r>
        <w:rPr>
          <w:rFonts w:hint="eastAsia" w:ascii="仿宋_GB2312" w:hAnsi="仿宋_GB2312" w:eastAsia="仿宋_GB2312" w:cs="仿宋_GB2312"/>
          <w:sz w:val="32"/>
          <w:szCs w:val="32"/>
          <w:highlight w:val="none"/>
        </w:rPr>
        <w:t>重点民生领域支出占财政支出比重</w:t>
      </w:r>
      <w:r>
        <w:rPr>
          <w:rFonts w:hint="eastAsia" w:ascii="仿宋_GB2312" w:hAnsi="仿宋_GB2312" w:eastAsia="仿宋_GB2312" w:cs="仿宋_GB2312"/>
          <w:sz w:val="32"/>
          <w:szCs w:val="32"/>
          <w:highlight w:val="none"/>
          <w:lang w:val="en-US" w:eastAsia="zh-CN"/>
        </w:rPr>
        <w:t>78</w:t>
      </w:r>
      <w:r>
        <w:rPr>
          <w:rFonts w:hint="eastAsia" w:ascii="仿宋_GB2312" w:hAnsi="仿宋_GB2312" w:eastAsia="仿宋_GB2312" w:cs="仿宋_GB2312"/>
          <w:sz w:val="32"/>
          <w:szCs w:val="32"/>
          <w:highlight w:val="none"/>
        </w:rPr>
        <w:t>%，20件民生实事圆满完成。深入实施就业优先战略，举办各类</w:t>
      </w:r>
      <w:r>
        <w:rPr>
          <w:rFonts w:hint="eastAsia" w:ascii="仿宋_GB2312" w:hAnsi="仿宋_GB2312" w:eastAsia="仿宋_GB2312" w:cs="仿宋_GB2312"/>
          <w:sz w:val="32"/>
          <w:szCs w:val="32"/>
          <w:highlight w:val="none"/>
          <w:lang w:eastAsia="zh-CN"/>
        </w:rPr>
        <w:t>就业</w:t>
      </w:r>
      <w:r>
        <w:rPr>
          <w:rFonts w:hint="eastAsia" w:ascii="仿宋_GB2312" w:hAnsi="仿宋_GB2312" w:eastAsia="仿宋_GB2312" w:cs="仿宋_GB2312"/>
          <w:sz w:val="32"/>
          <w:szCs w:val="32"/>
          <w:highlight w:val="none"/>
        </w:rPr>
        <w:t>招聘活动1</w:t>
      </w:r>
      <w:r>
        <w:rPr>
          <w:rFonts w:hint="eastAsia" w:ascii="仿宋_GB2312" w:hAnsi="仿宋_GB2312" w:eastAsia="仿宋_GB2312" w:cs="仿宋_GB2312"/>
          <w:sz w:val="32"/>
          <w:szCs w:val="32"/>
          <w:highlight w:val="none"/>
          <w:lang w:val="en-US" w:eastAsia="zh-CN"/>
        </w:rPr>
        <w:t>45</w:t>
      </w:r>
      <w:r>
        <w:rPr>
          <w:rFonts w:hint="eastAsia" w:ascii="仿宋_GB2312" w:hAnsi="仿宋_GB2312" w:eastAsia="仿宋_GB2312" w:cs="仿宋_GB2312"/>
          <w:sz w:val="32"/>
          <w:szCs w:val="32"/>
          <w:highlight w:val="none"/>
        </w:rPr>
        <w:t>场，</w:t>
      </w:r>
      <w:r>
        <w:rPr>
          <w:rFonts w:hint="eastAsia" w:ascii="仿宋_GB2312" w:hAnsi="仿宋_GB2312" w:eastAsia="仿宋_GB2312" w:cs="仿宋_GB2312"/>
          <w:sz w:val="32"/>
          <w:szCs w:val="32"/>
          <w:highlight w:val="none"/>
          <w:lang w:val="en-US" w:eastAsia="zh-CN"/>
        </w:rPr>
        <w:t>实现</w:t>
      </w:r>
      <w:r>
        <w:rPr>
          <w:rFonts w:hint="eastAsia" w:ascii="仿宋_GB2312" w:hAnsi="仿宋_GB2312" w:eastAsia="仿宋_GB2312" w:cs="仿宋_GB2312"/>
          <w:sz w:val="32"/>
          <w:szCs w:val="32"/>
          <w:highlight w:val="none"/>
        </w:rPr>
        <w:t>城镇新增就业</w:t>
      </w:r>
      <w:r>
        <w:rPr>
          <w:rFonts w:hint="eastAsia" w:ascii="仿宋_GB2312" w:hAnsi="仿宋_GB2312" w:eastAsia="仿宋_GB2312" w:cs="仿宋_GB2312"/>
          <w:sz w:val="32"/>
          <w:szCs w:val="32"/>
          <w:highlight w:val="none"/>
          <w:lang w:val="en-US" w:eastAsia="zh-CN"/>
        </w:rPr>
        <w:t>1.8万人</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我区获评省“就业环境友好型城市”建设单位。深化就业援助，实施“10+3+X”农民工欠薪专班治理模式，累计追讨、清欠农民工工资2452万元。高标准建成850间“劳动者之家”零工公寓，</w:t>
      </w:r>
      <w:r>
        <w:rPr>
          <w:rFonts w:hint="eastAsia" w:ascii="仿宋_GB2312" w:hAnsi="仿宋_GB2312" w:eastAsia="仿宋_GB2312" w:cs="仿宋_GB2312"/>
          <w:sz w:val="32"/>
          <w:szCs w:val="32"/>
          <w:lang w:eastAsia="zh-CN"/>
        </w:rPr>
        <w:t>建设量居全市第一</w:t>
      </w:r>
      <w:r>
        <w:rPr>
          <w:rFonts w:hint="eastAsia" w:ascii="仿宋_GB2312" w:hAnsi="仿宋_GB2312" w:eastAsia="仿宋_GB2312" w:cs="仿宋_GB2312"/>
          <w:sz w:val="32"/>
          <w:szCs w:val="32"/>
        </w:rPr>
        <w:t>。加快建设教育强区，实施“面向未来的高质量特色学校”建设项目，推进民办幼儿园、民办义务教育、社区教育规范优质发展。持续改善办学条件，建成</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rPr>
        <w:t>处新建改扩建教育设施，开工建设8处新建教育设施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智慧校园建设与应用100%达标，成功入选省级“智慧教育示范区”创建项目。</w:t>
      </w:r>
      <w:r>
        <w:rPr>
          <w:rFonts w:hint="eastAsia" w:ascii="仿宋_GB2312" w:hAnsi="仿宋_GB2312" w:eastAsia="仿宋_GB2312" w:cs="仿宋_GB2312"/>
          <w:sz w:val="32"/>
          <w:szCs w:val="32"/>
          <w:highlight w:val="none"/>
        </w:rPr>
        <w:t>强化社会保障，基本医保参保覆盖面进一步扩大</w:t>
      </w:r>
      <w:r>
        <w:rPr>
          <w:rFonts w:hint="eastAsia" w:ascii="仿宋_GB2312" w:hAnsi="仿宋_GB2312" w:eastAsia="仿宋_GB2312" w:cs="仿宋_GB2312"/>
          <w:sz w:val="32"/>
          <w:szCs w:val="32"/>
        </w:rPr>
        <w:t>。聚焦“一老一小”重点群体，打造“槐系桑榆”养老服务品牌，实施“童心梦圆”儿童关爱保护项目，“孝心工程·幸福食堂”公益项目首家试点落户槐荫。织牢特殊群体社会救助网络，打造“暖阳满槐”社会救助品牌。优化文体服务效能，持续打造居民家门口的“金边银角”健身打卡地，不断深化“书香槐荫，悦读西城”品牌影响力。深化“红领医养”品牌创建，积极打造“两院一体”“医养一体”多样化服务模式，实现医养全覆盖。创新基层社会治理格局，建立全市独有的社会组织并联审批互动机制，创新“五社联动”“13541”工作路径，实现社区治理水平新提升。统筹发展和安全,守好“一排底线”，深入开展消防、道路交通、建筑施工、燃气等各领域安全排查，严格落实安全生产责任。做好全区耕地保护和粮食安全工作，积极完善粮食供应保障体系建设，设立1个粮食应急保障中心、2个应急成品粮油储备点、24个粮食应急供应网点。加大金融风险防范化解力度，提高金融风险监测预警能力。全力保障市场重要民生商品量足价稳，民用优质燃煤应供尽供，电力平稳可靠运行。</w:t>
      </w:r>
      <w:r>
        <w:rPr>
          <w:rFonts w:hint="eastAsia" w:ascii="仿宋_GB2312" w:hAnsi="仿宋_GB2312" w:eastAsia="仿宋_GB2312" w:cs="仿宋_GB2312"/>
          <w:sz w:val="32"/>
          <w:szCs w:val="32"/>
          <w:lang w:eastAsia="zh-CN"/>
        </w:rPr>
        <w:t>积极推</w:t>
      </w:r>
      <w:r>
        <w:rPr>
          <w:rFonts w:hint="eastAsia" w:ascii="仿宋_GB2312" w:hAnsi="仿宋_GB2312" w:eastAsia="仿宋_GB2312" w:cs="仿宋_GB2312"/>
          <w:sz w:val="32"/>
          <w:szCs w:val="32"/>
          <w:lang w:val="en-US" w:eastAsia="zh-CN"/>
        </w:rPr>
        <w:t>进</w:t>
      </w:r>
      <w:r>
        <w:rPr>
          <w:rFonts w:hint="eastAsia" w:ascii="仿宋_GB2312" w:hAnsi="仿宋_GB2312" w:eastAsia="仿宋_GB2312" w:cs="仿宋_GB2312"/>
          <w:sz w:val="32"/>
          <w:szCs w:val="32"/>
          <w:lang w:eastAsia="zh-CN"/>
        </w:rPr>
        <w:t>区“平急两用”公共基础设施项目建设，有序推进</w:t>
      </w:r>
      <w:r>
        <w:rPr>
          <w:rFonts w:hint="eastAsia" w:ascii="仿宋_GB2312" w:hAnsi="仿宋_GB2312" w:eastAsia="仿宋_GB2312" w:cs="仿宋_GB2312"/>
          <w:sz w:val="32"/>
          <w:szCs w:val="32"/>
        </w:rPr>
        <w:t>国防动员</w:t>
      </w:r>
      <w:r>
        <w:rPr>
          <w:rFonts w:hint="eastAsia" w:ascii="仿宋_GB2312" w:hAnsi="仿宋_GB2312" w:eastAsia="仿宋_GB2312" w:cs="仿宋_GB2312"/>
          <w:sz w:val="32"/>
          <w:szCs w:val="32"/>
          <w:lang w:val="en-US" w:eastAsia="zh-CN"/>
        </w:rPr>
        <w:t>体制</w:t>
      </w:r>
      <w:r>
        <w:rPr>
          <w:rFonts w:hint="eastAsia" w:ascii="仿宋_GB2312" w:hAnsi="仿宋_GB2312" w:eastAsia="仿宋_GB2312" w:cs="仿宋_GB2312"/>
          <w:sz w:val="32"/>
          <w:szCs w:val="32"/>
        </w:rPr>
        <w:t>改革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lang w:eastAsia="zh-CN"/>
        </w:rPr>
        <w:t>区人防基本指挥所1801工程主体土建工程</w:t>
      </w:r>
      <w:r>
        <w:rPr>
          <w:rFonts w:hint="eastAsia" w:ascii="仿宋_GB2312" w:hAnsi="仿宋_GB2312" w:eastAsia="仿宋_GB2312" w:cs="仿宋_GB2312"/>
          <w:sz w:val="32"/>
          <w:szCs w:val="32"/>
        </w:rPr>
        <w:t>。稳步</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与平阴结对共促、与沂南对口合作等工作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顺利完成东西部协作和政县年度目标任务。此外，老龄、慈善、助残、妇女儿童、共青团、民族宗教、外事、档案、史志、</w:t>
      </w:r>
      <w:r>
        <w:rPr>
          <w:rFonts w:hint="eastAsia" w:ascii="仿宋_GB2312" w:hAnsi="仿宋_GB2312" w:eastAsia="仿宋_GB2312" w:cs="仿宋_GB2312"/>
          <w:sz w:val="32"/>
          <w:szCs w:val="32"/>
          <w:lang w:val="en-US" w:eastAsia="zh-CN"/>
        </w:rPr>
        <w:t>军民融合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信用体系建设等各项工作也都取得了新进展</w:t>
      </w:r>
      <w:r>
        <w:rPr>
          <w:rFonts w:hint="eastAsia" w:ascii="仿宋_GB2312" w:hAnsi="仿宋_GB2312" w:eastAsia="仿宋_GB2312" w:cs="仿宋_GB2312"/>
          <w:sz w:val="32"/>
          <w:szCs w:val="32"/>
          <w:lang w:eastAsia="zh-CN"/>
        </w:rPr>
        <w:t>。</w:t>
      </w:r>
    </w:p>
    <w:p>
      <w:pPr>
        <w:pStyle w:val="3"/>
        <w:spacing w:after="0"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总的来看，受当前全球地缘政治冲突频发、社会预期偏弱、有效需求不足、风险隐患仍然较多等因素影响，全区经济社会发展仍然面临较多不确定性，但回升向好、长期向好的基本趋势没有变。这是区委科学决策、正确领导的结果，是区人大监督指导、区政协大力支持的结果，更是全区上下砥砺奋进、勇毅前行的结果。但是在肯定成绩的同时，我们也清醒地认识到，前进道路上仍面临许多困难和挑战，主要是：新兴产业占比不高，城市更新步伐不快，项目接续存在短板，产业竞争力有待进一步提高，区域高质量发展基础不够稳固，民生保障仍需持续发力等。对此，我们将采取更实更细更有力的措施，推动问题有效解决。</w:t>
      </w:r>
    </w:p>
    <w:p>
      <w:pPr>
        <w:pStyle w:val="3"/>
        <w:spacing w:after="0" w:line="620" w:lineRule="exact"/>
        <w:ind w:firstLine="640" w:firstLineChars="200"/>
        <w:rPr>
          <w:rFonts w:ascii="黑体" w:hAnsi="黑体" w:eastAsia="黑体" w:cs="黑体"/>
          <w:sz w:val="32"/>
          <w:szCs w:val="32"/>
        </w:rPr>
      </w:pPr>
      <w:r>
        <w:rPr>
          <w:rFonts w:hint="eastAsia" w:ascii="黑体" w:hAnsi="黑体" w:eastAsia="黑体" w:cs="黑体"/>
          <w:sz w:val="32"/>
          <w:szCs w:val="32"/>
        </w:rPr>
        <w:t>二、2024年经济和社会发展预期目标</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2024年是中华人民共和国成立75周年</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贯彻落实党的二十大精神的关键之年,</w:t>
      </w:r>
      <w:r>
        <w:rPr>
          <w:rFonts w:hint="eastAsia" w:ascii="仿宋_GB2312" w:hAnsi="仿宋_GB2312" w:eastAsia="仿宋_GB2312" w:cs="仿宋_GB2312"/>
          <w:sz w:val="32"/>
          <w:szCs w:val="32"/>
          <w:lang w:eastAsia="zh-CN"/>
        </w:rPr>
        <w:t>也</w:t>
      </w:r>
      <w:r>
        <w:rPr>
          <w:rFonts w:hint="eastAsia" w:ascii="仿宋_GB2312" w:hAnsi="仿宋_GB2312" w:eastAsia="仿宋_GB2312" w:cs="仿宋_GB2312"/>
          <w:sz w:val="32"/>
          <w:szCs w:val="32"/>
        </w:rPr>
        <w:t>是深入实施“十四五”规划的攻坚之年，做好今年工作意义重大。面对新的复杂严峻形势和新的艰巨任务，全区上下要倍加珍惜来之不易的发展成果，锚定“125510”发展思路，坚持稳中求进、以进促稳、先立后破工作基调，以坚如磐石的必胜信念、坚韧不拔的顽强毅力、驰而不息的恒久韧劲,全力以赴抓项目强产业拼经济促发展，厚积薄发、行稳致远，以更加昂扬向上的精神状态做好2024年各项工作。</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综合分析发展基础、发展环境和发展需要，确定2024年经济社会发展主要目标是：</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地区</w:t>
      </w:r>
      <w:r>
        <w:rPr>
          <w:rFonts w:hint="eastAsia" w:ascii="仿宋_GB2312" w:hAnsi="仿宋_GB2312" w:eastAsia="仿宋_GB2312" w:cs="仿宋_GB2312"/>
          <w:sz w:val="32"/>
          <w:szCs w:val="32"/>
        </w:rPr>
        <w:t>生产总值增长</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左右</w:t>
      </w:r>
      <w:r>
        <w:rPr>
          <w:rFonts w:hint="eastAsia" w:ascii="仿宋_GB2312" w:hAnsi="仿宋_GB2312" w:eastAsia="仿宋_GB2312" w:cs="仿宋_GB2312"/>
          <w:sz w:val="32"/>
          <w:szCs w:val="32"/>
        </w:rPr>
        <w:t>；</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——规模以上工业增加值增长</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左右</w:t>
      </w:r>
      <w:r>
        <w:rPr>
          <w:rFonts w:hint="eastAsia" w:ascii="仿宋_GB2312" w:hAnsi="仿宋_GB2312" w:eastAsia="仿宋_GB2312" w:cs="仿宋_GB2312"/>
          <w:sz w:val="32"/>
          <w:szCs w:val="32"/>
        </w:rPr>
        <w:t>；</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——固定资产投资增长5.5%</w:t>
      </w:r>
      <w:r>
        <w:rPr>
          <w:rFonts w:hint="eastAsia" w:ascii="仿宋_GB2312" w:hAnsi="仿宋_GB2312" w:eastAsia="仿宋_GB2312" w:cs="仿宋_GB2312"/>
          <w:sz w:val="32"/>
          <w:szCs w:val="32"/>
          <w:lang w:val="en-US" w:eastAsia="zh-CN"/>
        </w:rPr>
        <w:t>左右</w:t>
      </w:r>
      <w:r>
        <w:rPr>
          <w:rFonts w:hint="eastAsia" w:ascii="仿宋_GB2312" w:hAnsi="仿宋_GB2312" w:eastAsia="仿宋_GB2312" w:cs="仿宋_GB2312"/>
          <w:sz w:val="32"/>
          <w:szCs w:val="32"/>
        </w:rPr>
        <w:t>；</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——一般公共预算收入增长6.5%</w:t>
      </w:r>
      <w:r>
        <w:rPr>
          <w:rFonts w:hint="eastAsia" w:ascii="仿宋_GB2312" w:hAnsi="仿宋_GB2312" w:eastAsia="仿宋_GB2312" w:cs="仿宋_GB2312"/>
          <w:sz w:val="32"/>
          <w:szCs w:val="32"/>
          <w:lang w:val="en-US" w:eastAsia="zh-CN"/>
        </w:rPr>
        <w:t>左右</w:t>
      </w:r>
      <w:r>
        <w:rPr>
          <w:rFonts w:hint="eastAsia" w:ascii="仿宋_GB2312" w:hAnsi="仿宋_GB2312" w:eastAsia="仿宋_GB2312" w:cs="仿宋_GB2312"/>
          <w:sz w:val="32"/>
          <w:szCs w:val="32"/>
        </w:rPr>
        <w:t>；</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——社会消费品零售总额增长5.5%</w:t>
      </w:r>
      <w:r>
        <w:rPr>
          <w:rFonts w:hint="eastAsia" w:ascii="仿宋_GB2312" w:hAnsi="仿宋_GB2312" w:eastAsia="仿宋_GB2312" w:cs="仿宋_GB2312"/>
          <w:sz w:val="32"/>
          <w:szCs w:val="32"/>
          <w:lang w:val="en-US" w:eastAsia="zh-CN"/>
        </w:rPr>
        <w:t>左右</w:t>
      </w:r>
      <w:r>
        <w:rPr>
          <w:rFonts w:hint="eastAsia" w:ascii="仿宋_GB2312" w:hAnsi="仿宋_GB2312" w:eastAsia="仿宋_GB2312" w:cs="仿宋_GB2312"/>
          <w:sz w:val="32"/>
          <w:szCs w:val="32"/>
        </w:rPr>
        <w:t>；</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——进出口总额</w:t>
      </w:r>
      <w:r>
        <w:rPr>
          <w:rFonts w:hint="eastAsia" w:ascii="仿宋_GB2312" w:hAnsi="仿宋_GB2312" w:eastAsia="仿宋_GB2312" w:cs="仿宋_GB2312"/>
          <w:sz w:val="32"/>
          <w:szCs w:val="32"/>
          <w:lang w:val="en-US" w:eastAsia="zh-CN"/>
        </w:rPr>
        <w:t>增长5%左右</w:t>
      </w:r>
      <w:r>
        <w:rPr>
          <w:rFonts w:hint="eastAsia" w:ascii="仿宋_GB2312" w:hAnsi="仿宋_GB2312" w:eastAsia="仿宋_GB2312" w:cs="仿宋_GB2312"/>
          <w:sz w:val="32"/>
          <w:szCs w:val="32"/>
        </w:rPr>
        <w:t>；</w:t>
      </w:r>
    </w:p>
    <w:p>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——实际使用外资8500万美元；</w:t>
      </w:r>
    </w:p>
    <w:p>
      <w:pPr>
        <w:pStyle w:val="3"/>
        <w:spacing w:after="0"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全面完成市下达的节能减排降碳约束性指标和环境改善目标</w:t>
      </w:r>
      <w:r>
        <w:rPr>
          <w:rFonts w:hint="eastAsia" w:ascii="仿宋_GB2312" w:hAnsi="仿宋_GB2312" w:eastAsia="仿宋_GB2312" w:cs="仿宋_GB2312"/>
          <w:sz w:val="32"/>
          <w:szCs w:val="32"/>
        </w:rPr>
        <w:t>。</w:t>
      </w:r>
    </w:p>
    <w:p>
      <w:pPr>
        <w:pStyle w:val="3"/>
        <w:spacing w:after="0" w:line="6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需要说明的是，资源环境目标为约束性目标，是必须完成的目标，其他目标为预期性目标，是政府期望的发展目标，主要通过引导市场行为来实现，实际工作中要充分发挥主观能动性，努力争取更好结果。</w:t>
      </w:r>
    </w:p>
    <w:p>
      <w:pPr>
        <w:spacing w:line="620" w:lineRule="exact"/>
        <w:ind w:firstLine="640" w:firstLineChars="200"/>
        <w:rPr>
          <w:rFonts w:ascii="仿宋" w:hAnsi="仿宋" w:eastAsia="仿宋" w:cs="文星黑体"/>
          <w:sz w:val="32"/>
          <w:szCs w:val="32"/>
        </w:rPr>
      </w:pPr>
      <w:r>
        <w:rPr>
          <w:rFonts w:hint="eastAsia" w:ascii="黑体" w:hAnsi="黑体" w:eastAsia="黑体" w:cs="黑体"/>
          <w:sz w:val="32"/>
          <w:szCs w:val="32"/>
        </w:rPr>
        <w:t>三、2024年经济和社会发展主要任务和重点工作</w:t>
      </w:r>
    </w:p>
    <w:p>
      <w:pPr>
        <w:pStyle w:val="3"/>
        <w:spacing w:after="0" w:line="620" w:lineRule="exact"/>
        <w:ind w:firstLine="640"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（一）不断优化产业</w:t>
      </w:r>
      <w:r>
        <w:rPr>
          <w:rFonts w:hint="eastAsia" w:ascii="楷体_GB2312" w:hAnsi="楷体_GB2312" w:eastAsia="楷体_GB2312" w:cs="楷体_GB2312"/>
          <w:sz w:val="32"/>
          <w:szCs w:val="32"/>
          <w:lang w:eastAsia="zh-CN"/>
        </w:rPr>
        <w:t>布局</w:t>
      </w:r>
      <w:r>
        <w:rPr>
          <w:rFonts w:hint="eastAsia" w:ascii="楷体_GB2312" w:hAnsi="楷体_GB2312" w:eastAsia="楷体_GB2312" w:cs="楷体_GB2312"/>
          <w:sz w:val="32"/>
          <w:szCs w:val="32"/>
        </w:rPr>
        <w:t>，打造经济发展新引擎。</w:t>
      </w:r>
      <w:r>
        <w:rPr>
          <w:rFonts w:hint="eastAsia" w:ascii="仿宋_GB2312" w:hAnsi="仿宋_GB2312" w:eastAsia="仿宋_GB2312" w:cs="仿宋_GB2312"/>
          <w:sz w:val="32"/>
          <w:szCs w:val="32"/>
        </w:rPr>
        <w:t>一是加快医养健康产业导入。依托山东省医养健康产业规划，合理布局我区</w:t>
      </w:r>
      <w:r>
        <w:rPr>
          <w:rFonts w:ascii="仿宋_GB2312" w:hAnsi="仿宋_GB2312" w:eastAsia="仿宋_GB2312" w:cs="仿宋_GB2312"/>
          <w:sz w:val="32"/>
          <w:szCs w:val="32"/>
        </w:rPr>
        <w:t>产业发展方向，加快《槐荫区医养健康产业发展规划》落地</w:t>
      </w:r>
      <w:r>
        <w:rPr>
          <w:rFonts w:hint="eastAsia" w:ascii="仿宋_GB2312" w:hAnsi="仿宋_GB2312" w:eastAsia="仿宋_GB2312" w:cs="仿宋_GB2312"/>
          <w:sz w:val="32"/>
          <w:szCs w:val="32"/>
          <w:lang w:eastAsia="zh-CN"/>
        </w:rPr>
        <w:t>，全域推进康养体系建设，做强医养健康产业集群。</w:t>
      </w:r>
      <w:r>
        <w:rPr>
          <w:rFonts w:ascii="仿宋_GB2312" w:hAnsi="仿宋_GB2312" w:eastAsia="仿宋_GB2312" w:cs="仿宋_GB2312"/>
          <w:color w:val="auto"/>
          <w:sz w:val="32"/>
          <w:szCs w:val="32"/>
        </w:rPr>
        <w:t>医学</w:t>
      </w:r>
      <w:r>
        <w:rPr>
          <w:rFonts w:hint="eastAsia" w:ascii="仿宋_GB2312" w:hAnsi="仿宋_GB2312" w:eastAsia="仿宋_GB2312" w:cs="仿宋_GB2312"/>
          <w:color w:val="auto"/>
          <w:sz w:val="32"/>
          <w:szCs w:val="32"/>
        </w:rPr>
        <w:t>中心</w:t>
      </w:r>
      <w:r>
        <w:rPr>
          <w:rFonts w:hint="eastAsia" w:ascii="仿宋_GB2312" w:hAnsi="仿宋_GB2312" w:eastAsia="仿宋_GB2312" w:cs="仿宋_GB2312"/>
          <w:color w:val="auto"/>
          <w:sz w:val="32"/>
          <w:szCs w:val="32"/>
          <w:lang w:eastAsia="zh-CN"/>
        </w:rPr>
        <w:t>片区，</w:t>
      </w:r>
      <w:r>
        <w:rPr>
          <w:rFonts w:hint="eastAsia" w:ascii="仿宋_GB2312" w:hAnsi="仿宋_GB2312" w:eastAsia="仿宋_GB2312" w:cs="仿宋_GB2312"/>
          <w:color w:val="auto"/>
          <w:sz w:val="32"/>
          <w:szCs w:val="32"/>
          <w:lang w:val="en-US" w:eastAsia="zh-CN"/>
        </w:rPr>
        <w:t>重点推进中国中医科学院“一带一路”联合实验室、山东大学国家医学攻关产教融合创新平台等项目落地开工，加快推进山东省肿瘤防治研究院技术创新与临床转化平台二期工程、山东大学国际医学中心、质兰大厦等项目建设进度，全力推动济南微生态生物医学省实验室、山东脑科学与类脑研究院等项目交付运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二是做大做强半导体“一号工程”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以半导体产业引导基金为抓手，依托</w:t>
      </w:r>
      <w:r>
        <w:rPr>
          <w:rFonts w:hint="eastAsia" w:ascii="仿宋_GB2312" w:hAnsi="仿宋_GB2312" w:eastAsia="仿宋_GB2312" w:cs="仿宋_GB2312"/>
          <w:sz w:val="32"/>
          <w:szCs w:val="32"/>
          <w:lang w:eastAsia="zh-CN"/>
        </w:rPr>
        <w:t>中国赛迪黄河中心、</w:t>
      </w:r>
      <w:r>
        <w:rPr>
          <w:rFonts w:hint="eastAsia" w:ascii="仿宋_GB2312" w:hAnsi="仿宋_GB2312" w:eastAsia="仿宋_GB2312" w:cs="仿宋_GB2312"/>
          <w:sz w:val="32"/>
          <w:szCs w:val="32"/>
        </w:rPr>
        <w:t>宽禁带半导体产业园、均和云谷济南汇智港等优质平台载体，</w:t>
      </w:r>
      <w:r>
        <w:rPr>
          <w:rFonts w:hint="eastAsia" w:ascii="仿宋_GB2312" w:hAnsi="仿宋_GB2312" w:eastAsia="仿宋_GB2312" w:cs="仿宋_GB2312"/>
          <w:sz w:val="32"/>
          <w:szCs w:val="32"/>
          <w:lang w:eastAsia="zh-CN"/>
        </w:rPr>
        <w:t>围绕第三代半导体材料及设备、封装测试、功率器件等细分领域，</w:t>
      </w:r>
      <w:r>
        <w:rPr>
          <w:rFonts w:hint="eastAsia" w:ascii="仿宋_GB2312" w:hAnsi="仿宋_GB2312" w:eastAsia="仿宋_GB2312" w:cs="仿宋_GB2312"/>
          <w:sz w:val="32"/>
          <w:szCs w:val="32"/>
        </w:rPr>
        <w:t>加速推动珠海鼎泰磷化铟衬底材料项目、北京特思迪半导体设备项目等项目签约落地，建圈强链，全力打造</w:t>
      </w:r>
      <w:r>
        <w:rPr>
          <w:rFonts w:hint="eastAsia" w:ascii="仿宋_GB2312" w:hAnsi="仿宋_GB2312" w:eastAsia="仿宋_GB2312" w:cs="仿宋_GB2312"/>
          <w:sz w:val="32"/>
          <w:szCs w:val="32"/>
          <w:lang w:eastAsia="zh-CN"/>
        </w:rPr>
        <w:t>国内一流的第三代半导体产业生态。</w:t>
      </w:r>
      <w:r>
        <w:rPr>
          <w:rFonts w:hint="eastAsia" w:ascii="仿宋_GB2312" w:hAnsi="仿宋_GB2312" w:eastAsia="仿宋_GB2312" w:cs="仿宋_GB2312"/>
          <w:sz w:val="32"/>
          <w:szCs w:val="32"/>
        </w:rPr>
        <w:t>三是培育壮大智能制造产业。完善智能制造产业整体规划，推动中小企业融入二机床、九阳等骨干企业产业链供应链体系，构建大中小企业相互依存、相互促进的企业发展生态，提升智能制造产业区域竞争力。加速推动中南高科智能制造产业园、中交创芯智谷产业园、槐荫数控智能设备产业园、开发区半导体及智能制造产业集聚区“一区三园”载体型项目取得突破性进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四是大力推进济南西站枢纽经济集聚区建设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依托</w:t>
      </w:r>
      <w:r>
        <w:rPr>
          <w:rFonts w:hint="eastAsia" w:ascii="仿宋_GB2312" w:hAnsi="仿宋_GB2312" w:eastAsia="仿宋_GB2312" w:cs="仿宋_GB2312"/>
          <w:sz w:val="32"/>
          <w:szCs w:val="32"/>
          <w:lang w:eastAsia="zh-CN"/>
        </w:rPr>
        <w:t>“一院四馆”、印象济南</w:t>
      </w:r>
      <w:r>
        <w:rPr>
          <w:rFonts w:hint="eastAsia" w:ascii="仿宋_GB2312" w:hAnsi="仿宋_GB2312" w:eastAsia="仿宋_GB2312" w:cs="仿宋_GB2312"/>
          <w:sz w:val="32"/>
          <w:szCs w:val="32"/>
          <w:lang w:val="en-US" w:eastAsia="zh-CN"/>
        </w:rPr>
        <w:t>·泉世界等文化旅游资源，会展、金融、现代物流等产业资源，以及丰富的楼宇资源优势，</w:t>
      </w:r>
      <w:r>
        <w:rPr>
          <w:rFonts w:hint="eastAsia" w:ascii="仿宋_GB2312" w:hAnsi="仿宋_GB2312" w:eastAsia="仿宋_GB2312" w:cs="仿宋_GB2312"/>
          <w:sz w:val="32"/>
          <w:szCs w:val="32"/>
        </w:rPr>
        <w:t>积极培育“京沪系列”楼宇品牌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全力打造枢纽型消费聚集地。五是加快经十西路汽车产业带建设步伐。围绕汽车体验、汽车露营、汽车娱乐、汽车会展、汽车科普，推动汽车产业与文化、旅游、会展等相关产业协同发展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持续做强品牌聚合效应，在服务保障现有汽车品牌发展基础上，积极引进新的汽车品牌，实现汽车产业“量”的聚集，推动槐荫由汽车消费大区向消费强区转变。</w:t>
      </w:r>
      <w:r>
        <w:rPr>
          <w:rFonts w:hint="eastAsia" w:ascii="仿宋_GB2312" w:hAnsi="仿宋_GB2312" w:eastAsia="仿宋_GB2312" w:cs="仿宋_GB2312"/>
          <w:sz w:val="32"/>
          <w:szCs w:val="32"/>
          <w:lang w:eastAsia="zh-CN"/>
        </w:rPr>
        <w:t>六是全力推进商埠区保护提升。以保护区域内文物建筑和街区格局为前提，以特色文化资源为核心，以文化传承为主线，重点改善街区旅游环境，完善配套服务设施，将商埠区打造成为集购物、休闲、娱乐、餐饮于一体，以商埠文化体验为主题特色的城市旅游休憩商业区。</w:t>
      </w:r>
    </w:p>
    <w:p>
      <w:pPr>
        <w:pStyle w:val="3"/>
        <w:spacing w:after="0"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）坚定实施</w:t>
      </w:r>
      <w:r>
        <w:rPr>
          <w:rFonts w:hint="eastAsia" w:ascii="楷体_GB2312" w:hAnsi="楷体_GB2312" w:eastAsia="楷体_GB2312" w:cs="楷体_GB2312"/>
          <w:sz w:val="32"/>
          <w:szCs w:val="32"/>
          <w:lang w:eastAsia="zh-CN"/>
        </w:rPr>
        <w:t>项目带动</w:t>
      </w:r>
      <w:r>
        <w:rPr>
          <w:rFonts w:hint="eastAsia" w:ascii="楷体_GB2312" w:hAnsi="楷体_GB2312" w:eastAsia="楷体_GB2312" w:cs="楷体_GB2312"/>
          <w:sz w:val="32"/>
          <w:szCs w:val="32"/>
        </w:rPr>
        <w:t>战略，持续畅通经济发展</w:t>
      </w:r>
      <w:r>
        <w:rPr>
          <w:rFonts w:hint="eastAsia" w:ascii="楷体_GB2312" w:hAnsi="楷体_GB2312" w:eastAsia="楷体_GB2312" w:cs="楷体_GB2312"/>
          <w:sz w:val="32"/>
          <w:szCs w:val="32"/>
          <w:lang w:eastAsia="zh-CN"/>
        </w:rPr>
        <w:t>内外双</w:t>
      </w:r>
      <w:r>
        <w:rPr>
          <w:rFonts w:hint="eastAsia" w:ascii="楷体_GB2312" w:hAnsi="楷体_GB2312" w:eastAsia="楷体_GB2312" w:cs="楷体_GB2312"/>
          <w:sz w:val="32"/>
          <w:szCs w:val="32"/>
        </w:rPr>
        <w:t>循环。</w:t>
      </w:r>
      <w:r>
        <w:rPr>
          <w:rFonts w:hint="eastAsia" w:ascii="仿宋_GB2312" w:hAnsi="仿宋_GB2312" w:eastAsia="仿宋_GB2312" w:cs="仿宋_GB2312"/>
          <w:sz w:val="32"/>
          <w:szCs w:val="32"/>
        </w:rPr>
        <w:t>一是以“项目深化年”为总牵引，全力推进项目谋划建设提速加力。编制《槐荫区2024年“项目深化年”高质量发展重点项目（新旧动能转换）建设计划》，以计划为蓝本，深化项目服务，编制实施方案，在建设进度上求突破，</w:t>
      </w:r>
      <w:r>
        <w:rPr>
          <w:rFonts w:hint="eastAsia" w:ascii="仿宋_GB2312" w:hAnsi="仿宋_GB2312" w:eastAsia="仿宋_GB2312" w:cs="仿宋_GB2312"/>
          <w:color w:val="auto"/>
          <w:sz w:val="32"/>
          <w:szCs w:val="32"/>
        </w:rPr>
        <w:t>全力推进总</w:t>
      </w:r>
      <w:r>
        <w:rPr>
          <w:rFonts w:hint="eastAsia" w:ascii="仿宋_GB2312" w:hAnsi="仿宋_GB2312" w:eastAsia="仿宋_GB2312" w:cs="仿宋_GB2312"/>
          <w:color w:val="auto"/>
          <w:sz w:val="32"/>
          <w:szCs w:val="32"/>
          <w:highlight w:val="none"/>
        </w:rPr>
        <w:t>投资</w:t>
      </w:r>
      <w:r>
        <w:rPr>
          <w:rFonts w:hint="eastAsia" w:ascii="仿宋_GB2312" w:hAnsi="仿宋_GB2312" w:eastAsia="仿宋_GB2312" w:cs="仿宋_GB2312"/>
          <w:color w:val="auto"/>
          <w:sz w:val="32"/>
          <w:szCs w:val="32"/>
          <w:highlight w:val="none"/>
          <w:lang w:val="en-US" w:eastAsia="zh-CN"/>
        </w:rPr>
        <w:t>3150</w:t>
      </w:r>
      <w:r>
        <w:rPr>
          <w:rFonts w:hint="eastAsia" w:ascii="仿宋_GB2312" w:hAnsi="仿宋_GB2312" w:eastAsia="仿宋_GB2312" w:cs="仿宋_GB2312"/>
          <w:color w:val="auto"/>
          <w:sz w:val="32"/>
          <w:szCs w:val="32"/>
          <w:highlight w:val="none"/>
        </w:rPr>
        <w:t>亿元，</w:t>
      </w:r>
      <w:r>
        <w:rPr>
          <w:rFonts w:hint="eastAsia" w:ascii="仿宋_GB2312" w:hAnsi="仿宋_GB2312" w:eastAsia="仿宋_GB2312" w:cs="仿宋_GB2312"/>
          <w:color w:val="auto"/>
          <w:sz w:val="32"/>
          <w:szCs w:val="32"/>
          <w:highlight w:val="none"/>
          <w:lang w:val="en-US" w:eastAsia="zh-CN"/>
        </w:rPr>
        <w:t>196</w:t>
      </w:r>
      <w:r>
        <w:rPr>
          <w:rFonts w:hint="eastAsia" w:ascii="仿宋_GB2312" w:hAnsi="仿宋_GB2312" w:eastAsia="仿宋_GB2312" w:cs="仿宋_GB2312"/>
          <w:color w:val="auto"/>
          <w:sz w:val="32"/>
          <w:szCs w:val="32"/>
          <w:highlight w:val="none"/>
        </w:rPr>
        <w:t>个重点项目加快建设。重点</w:t>
      </w:r>
      <w:r>
        <w:rPr>
          <w:rFonts w:hint="eastAsia" w:ascii="仿宋_GB2312" w:hAnsi="仿宋_GB2312" w:eastAsia="仿宋_GB2312" w:cs="仿宋_GB2312"/>
          <w:color w:val="auto"/>
          <w:sz w:val="32"/>
          <w:szCs w:val="32"/>
          <w:highlight w:val="none"/>
          <w:lang w:val="en-US" w:eastAsia="zh-CN"/>
        </w:rPr>
        <w:t>加快</w:t>
      </w:r>
      <w:r>
        <w:rPr>
          <w:rFonts w:hint="eastAsia" w:ascii="仿宋_GB2312" w:hAnsi="仿宋_GB2312" w:eastAsia="仿宋_GB2312" w:cs="仿宋_GB2312"/>
          <w:color w:val="auto"/>
          <w:sz w:val="32"/>
          <w:szCs w:val="32"/>
          <w:highlight w:val="none"/>
        </w:rPr>
        <w:t>济南</w:t>
      </w:r>
      <w:r>
        <w:rPr>
          <w:rFonts w:hint="eastAsia" w:ascii="仿宋_GB2312" w:hAnsi="仿宋_GB2312" w:eastAsia="仿宋_GB2312" w:cs="仿宋_GB2312"/>
          <w:sz w:val="32"/>
          <w:szCs w:val="32"/>
          <w:highlight w:val="none"/>
        </w:rPr>
        <w:t>先进材料智造港</w:t>
      </w:r>
      <w:r>
        <w:rPr>
          <w:rFonts w:hint="eastAsia" w:ascii="仿宋_GB2312" w:hAnsi="仿宋_GB2312" w:eastAsia="仿宋_GB2312" w:cs="仿宋_GB2312"/>
          <w:sz w:val="32"/>
          <w:szCs w:val="32"/>
        </w:rPr>
        <w:t>、重离子中心、广安门济南医院、西客站TOD综合体等重大支撑项目建设</w:t>
      </w:r>
      <w:r>
        <w:rPr>
          <w:rFonts w:hint="eastAsia" w:ascii="仿宋_GB2312" w:hAnsi="仿宋_GB2312" w:eastAsia="仿宋_GB2312" w:cs="仿宋_GB2312"/>
          <w:sz w:val="32"/>
          <w:szCs w:val="32"/>
          <w:lang w:eastAsia="zh-CN"/>
        </w:rPr>
        <w:t>，以高质量项目建设助推经济高质量发展。全力实施兴济河（槐荫区段）河道治理提升等政府投资项目建设计划，推进轨道交通6号线商埠区西站等国有土地上房屋征收项目加快建设。二</w:t>
      </w:r>
      <w:r>
        <w:rPr>
          <w:rFonts w:hint="eastAsia" w:ascii="仿宋_GB2312" w:hAnsi="仿宋_GB2312" w:eastAsia="仿宋_GB2312" w:cs="仿宋_GB2312"/>
          <w:sz w:val="32"/>
          <w:szCs w:val="32"/>
        </w:rPr>
        <w:t>是持续扩大有效投资。根据国家政策导向和地方实际需求，合理配置中央预算内资金、地方政府专项债、制造业中长期贷款等国家重点资金，完善项目策划谋划和筛选机制，分梯次动态审核筛选项目，储备一批医养健康、先进材料、智能制造等优势领域的产业项目。通过搭建银企对接平台，定期组织开展项目融资推介活动，以政府投资和政策激励带动全社会投资，鼓励和引导更多民间资本、外资参与重点项目建设，拓宽项目融资渠道。</w:t>
      </w: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sz w:val="32"/>
          <w:szCs w:val="32"/>
        </w:rPr>
        <w:t>积极推动消费提质扩容。紧盯消费重要节点，顺应消费需求和趋势，用好省市各级出台的促消费政策，持续打造行之有效、富有特色的系列促消费活动，以真招实策提振市场预期和信心，优化消费供给，改善消费条件。加快传统消费数字化转型，在稳定和扩大传统消费的基础上，提振新能源汽车、电子产品等大宗消费，大力培育和发展网络直播、即时零售、在线文娱、在线医疗</w:t>
      </w:r>
      <w:r>
        <w:rPr>
          <w:rFonts w:hint="eastAsia" w:ascii="仿宋_GB2312" w:hAnsi="仿宋_GB2312" w:eastAsia="仿宋_GB2312" w:cs="仿宋_GB2312"/>
          <w:sz w:val="32"/>
          <w:szCs w:val="32"/>
          <w:lang w:eastAsia="zh-CN"/>
        </w:rPr>
        <w:t>、电子竞技</w:t>
      </w:r>
      <w:r>
        <w:rPr>
          <w:rFonts w:hint="eastAsia" w:ascii="仿宋_GB2312" w:hAnsi="仿宋_GB2312" w:eastAsia="仿宋_GB2312" w:cs="仿宋_GB2312"/>
          <w:sz w:val="32"/>
          <w:szCs w:val="32"/>
        </w:rPr>
        <w:t>等数字</w:t>
      </w:r>
      <w:r>
        <w:rPr>
          <w:rFonts w:hint="eastAsia" w:ascii="仿宋_GB2312" w:hAnsi="仿宋_GB2312" w:eastAsia="仿宋_GB2312" w:cs="仿宋_GB2312"/>
          <w:sz w:val="32"/>
          <w:szCs w:val="32"/>
          <w:lang w:eastAsia="zh-CN"/>
        </w:rPr>
        <w:t>经济</w:t>
      </w:r>
      <w:r>
        <w:rPr>
          <w:rFonts w:hint="eastAsia" w:ascii="仿宋_GB2312" w:hAnsi="仿宋_GB2312" w:eastAsia="仿宋_GB2312" w:cs="仿宋_GB2312"/>
          <w:sz w:val="32"/>
          <w:szCs w:val="32"/>
        </w:rPr>
        <w:t>新业态，不断拓展数字人民币应用场景，扩大数字人民币应用规模，让消费市场“热度”长在。更好发挥会展带动作用，以打造会展服务产业园区为契机，不断完善会展中心周边配套服务设施，丰富“会展+”业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是加快培育外贸新动能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用足用好扶持政策，鼓励引导传统外贸企业、跨境电商和物流企业多渠道开拓国际市场，优化市场布局，推进我区外贸扩规提质。</w:t>
      </w:r>
    </w:p>
    <w:p>
      <w:pPr>
        <w:pStyle w:val="3"/>
        <w:spacing w:after="0" w:line="62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）大力实施创新驱动发展战略，塑造高质量发展新优势。</w:t>
      </w:r>
      <w:r>
        <w:rPr>
          <w:rFonts w:hint="eastAsia" w:ascii="仿宋_GB2312" w:hAnsi="仿宋_GB2312" w:eastAsia="仿宋_GB2312" w:cs="仿宋_GB2312"/>
          <w:sz w:val="32"/>
          <w:szCs w:val="32"/>
        </w:rPr>
        <w:t>一是</w:t>
      </w:r>
      <w:r>
        <w:rPr>
          <w:rFonts w:hint="eastAsia" w:ascii="仿宋_GB2312" w:hAnsi="仿宋_GB2312" w:eastAsia="仿宋_GB2312" w:cs="仿宋_GB2312"/>
          <w:sz w:val="32"/>
          <w:szCs w:val="32"/>
          <w:lang w:eastAsia="zh-CN"/>
        </w:rPr>
        <w:t>强化</w:t>
      </w:r>
      <w:r>
        <w:rPr>
          <w:rFonts w:hint="eastAsia" w:ascii="仿宋_GB2312" w:hAnsi="仿宋_GB2312" w:eastAsia="仿宋_GB2312" w:cs="仿宋_GB2312"/>
          <w:sz w:val="32"/>
          <w:szCs w:val="32"/>
        </w:rPr>
        <w:t>重大</w:t>
      </w:r>
      <w:r>
        <w:rPr>
          <w:rFonts w:hint="eastAsia" w:ascii="仿宋_GB2312" w:hAnsi="仿宋_GB2312" w:eastAsia="仿宋_GB2312" w:cs="仿宋_GB2312"/>
          <w:sz w:val="32"/>
          <w:szCs w:val="32"/>
          <w:lang w:eastAsia="zh-CN"/>
        </w:rPr>
        <w:t>科创</w:t>
      </w:r>
      <w:r>
        <w:rPr>
          <w:rFonts w:hint="eastAsia" w:ascii="仿宋_GB2312" w:hAnsi="仿宋_GB2312" w:eastAsia="仿宋_GB2312" w:cs="仿宋_GB2312"/>
          <w:sz w:val="32"/>
          <w:szCs w:val="32"/>
        </w:rPr>
        <w:t>平台建设。</w:t>
      </w:r>
      <w:r>
        <w:rPr>
          <w:rFonts w:hint="eastAsia" w:ascii="仿宋_GB2312" w:hAnsi="仿宋_GB2312" w:eastAsia="仿宋_GB2312" w:cs="仿宋_GB2312"/>
          <w:sz w:val="32"/>
          <w:szCs w:val="32"/>
          <w:lang w:val="en-US" w:eastAsia="zh-CN"/>
        </w:rPr>
        <w:t>深化共建</w:t>
      </w:r>
      <w:r>
        <w:rPr>
          <w:rFonts w:hint="eastAsia" w:ascii="仿宋_GB2312" w:hAnsi="仿宋_GB2312" w:eastAsia="仿宋_GB2312" w:cs="仿宋_GB2312"/>
          <w:sz w:val="32"/>
          <w:szCs w:val="32"/>
        </w:rPr>
        <w:t>山东第一医科大学科技园，</w:t>
      </w:r>
      <w:r>
        <w:rPr>
          <w:rFonts w:hint="eastAsia" w:ascii="仿宋_GB2312" w:hAnsi="仿宋_GB2312" w:eastAsia="仿宋_GB2312" w:cs="仿宋_GB2312"/>
          <w:sz w:val="32"/>
          <w:szCs w:val="32"/>
          <w:lang w:eastAsia="zh-CN"/>
        </w:rPr>
        <w:t>借助科研院所和高校在科研、人才等方面的资源优势，高质量</w:t>
      </w:r>
      <w:r>
        <w:rPr>
          <w:rFonts w:hint="eastAsia" w:ascii="仿宋_GB2312" w:hAnsi="仿宋_GB2312" w:eastAsia="仿宋_GB2312" w:cs="仿宋_GB2312"/>
          <w:sz w:val="32"/>
          <w:szCs w:val="32"/>
          <w:lang w:val="en-US" w:eastAsia="zh-CN"/>
        </w:rPr>
        <w:t>打造</w:t>
      </w:r>
      <w:r>
        <w:rPr>
          <w:rFonts w:hint="eastAsia" w:ascii="仿宋_GB2312" w:hAnsi="仿宋_GB2312" w:eastAsia="仿宋_GB2312" w:cs="仿宋_GB2312"/>
          <w:sz w:val="32"/>
          <w:szCs w:val="32"/>
          <w:lang w:eastAsia="zh-CN"/>
        </w:rPr>
        <w:t>创新链产业链资金链人才链深度融合的</w:t>
      </w:r>
      <w:r>
        <w:rPr>
          <w:rFonts w:hint="eastAsia" w:ascii="仿宋_GB2312" w:hAnsi="仿宋_GB2312" w:eastAsia="仿宋_GB2312" w:cs="仿宋_GB2312"/>
          <w:sz w:val="32"/>
          <w:szCs w:val="32"/>
          <w:lang w:val="en-US" w:eastAsia="zh-CN"/>
        </w:rPr>
        <w:t>“双创”高地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持续推进</w:t>
      </w:r>
      <w:r>
        <w:rPr>
          <w:rFonts w:hint="eastAsia" w:ascii="仿宋_GB2312" w:hAnsi="仿宋_GB2312" w:eastAsia="仿宋_GB2312" w:cs="仿宋_GB2312"/>
          <w:sz w:val="32"/>
          <w:szCs w:val="32"/>
        </w:rPr>
        <w:t>国家健康医疗大数据中心（北方）、国家人类遗传资源山东创新中心、齐鲁中科现代微生物技术研究院、山东脑科学与类脑研究院等</w:t>
      </w:r>
      <w:r>
        <w:rPr>
          <w:rFonts w:hint="eastAsia" w:ascii="仿宋_GB2312" w:hAnsi="仿宋_GB2312" w:eastAsia="仿宋_GB2312" w:cs="仿宋_GB2312"/>
          <w:sz w:val="32"/>
          <w:szCs w:val="32"/>
          <w:lang w:eastAsia="zh-CN"/>
        </w:rPr>
        <w:t>高能级平台</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eastAsia="zh-CN"/>
        </w:rPr>
        <w:t>，筑牢支撑产业高质量发展的“坚实底座”</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二是强化科技成果转化。组建大学科技园成果转化基金，</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高端科研成果落地孵化</w:t>
      </w:r>
      <w:r>
        <w:rPr>
          <w:rFonts w:hint="eastAsia" w:ascii="仿宋_GB2312" w:hAnsi="仿宋_GB2312" w:eastAsia="仿宋_GB2312" w:cs="仿宋_GB2312"/>
          <w:sz w:val="32"/>
          <w:szCs w:val="32"/>
          <w:lang w:eastAsia="zh-CN"/>
        </w:rPr>
        <w:t>提供有效支持</w:t>
      </w:r>
      <w:r>
        <w:rPr>
          <w:rFonts w:hint="eastAsia" w:ascii="仿宋_GB2312" w:hAnsi="仿宋_GB2312" w:eastAsia="仿宋_GB2312" w:cs="仿宋_GB2312"/>
          <w:sz w:val="32"/>
          <w:szCs w:val="32"/>
        </w:rPr>
        <w:t>。积极组织开展校地合作论坛等科技成果对接活动，推动高校、科研院所优质资源与我区产业深度融合。发挥医学中心生物医药研究领域的优势和微生态生物医学省实验室的科研实力优势，着力打造微生态生物医药产业园，完善从技术研究到产业化全链条产业布局。三是提升人才服务能级。牢固树立“人才是第一资源”的发展理念,以最大诚意最优服务最佳平台揽才、育才、留才，持续打造人才“蓄水池”。持续推进青年发展友好型城区建设，</w:t>
      </w:r>
      <w:r>
        <w:rPr>
          <w:rFonts w:hint="eastAsia" w:ascii="仿宋_GB2312" w:hAnsi="仿宋_GB2312" w:eastAsia="仿宋_GB2312" w:cs="仿宋_GB2312"/>
          <w:sz w:val="32"/>
          <w:szCs w:val="32"/>
          <w:lang w:val="en-US" w:eastAsia="zh-CN"/>
        </w:rPr>
        <w:t>持续</w:t>
      </w:r>
      <w:r>
        <w:rPr>
          <w:rFonts w:hint="eastAsia" w:ascii="仿宋_GB2312" w:hAnsi="仿宋_GB2312" w:eastAsia="仿宋_GB2312" w:cs="仿宋_GB2312"/>
          <w:sz w:val="32"/>
          <w:szCs w:val="32"/>
        </w:rPr>
        <w:t>用好省市创新创业大赛、“才聚泉城”名校行等活动载体，引导创新要素向科技型企业汇聚，推动高新技术企业、“瞪羚企业”、“专精特新”企业数量实现明显增长，领军人才、高层次人才和创新创业团队在我区集聚。四是靶向发力招大引强。</w:t>
      </w:r>
      <w:r>
        <w:rPr>
          <w:rFonts w:hint="eastAsia" w:ascii="仿宋_GB2312" w:hAnsi="仿宋_GB2312" w:eastAsia="仿宋_GB2312" w:cs="仿宋_GB2312"/>
          <w:sz w:val="32"/>
          <w:szCs w:val="32"/>
          <w:highlight w:val="none"/>
        </w:rPr>
        <w:t>围绕“342”现代产业体系，分类分层细化产业，编制产业地图和重点产业链“招商图谱”，开展“强链延链补链”精准招商。围绕打造“济南西站枢纽经济集聚区”，吸引集聚京沪沿线龙头总部企业入驻</w:t>
      </w:r>
      <w:r>
        <w:rPr>
          <w:rFonts w:hint="eastAsia" w:ascii="仿宋_GB2312" w:hAnsi="仿宋_GB2312" w:eastAsia="仿宋_GB2312" w:cs="仿宋_GB2312"/>
          <w:sz w:val="32"/>
          <w:szCs w:val="32"/>
          <w:highlight w:val="none"/>
          <w:lang w:eastAsia="zh-CN"/>
        </w:rPr>
        <w:t>。重点瞄准电竞</w:t>
      </w:r>
      <w:r>
        <w:rPr>
          <w:rFonts w:hint="eastAsia" w:ascii="仿宋_GB2312" w:hAnsi="仿宋_GB2312" w:eastAsia="仿宋_GB2312" w:cs="仿宋_GB2312"/>
          <w:sz w:val="32"/>
          <w:szCs w:val="32"/>
          <w:highlight w:val="none"/>
          <w:lang w:val="en-US" w:eastAsia="zh-CN"/>
        </w:rPr>
        <w:t>等未来</w:t>
      </w:r>
      <w:r>
        <w:rPr>
          <w:rFonts w:hint="eastAsia" w:ascii="仿宋_GB2312" w:hAnsi="仿宋_GB2312" w:eastAsia="仿宋_GB2312" w:cs="仿宋_GB2312"/>
          <w:sz w:val="32"/>
          <w:szCs w:val="32"/>
          <w:highlight w:val="none"/>
          <w:lang w:eastAsia="zh-CN"/>
        </w:rPr>
        <w:t>产业新蓝海，探索引进电子竞技上下游产业，联动文旅、会展、数字经济等产业创新发展。</w:t>
      </w:r>
      <w:r>
        <w:rPr>
          <w:rFonts w:hint="eastAsia" w:ascii="仿宋_GB2312" w:hAnsi="仿宋_GB2312" w:eastAsia="仿宋_GB2312" w:cs="仿宋_GB2312"/>
          <w:sz w:val="32"/>
          <w:szCs w:val="32"/>
          <w:highlight w:val="none"/>
        </w:rPr>
        <w:t>围绕城市更新、城中村改造项目进行产业策划包装和推介，加快产业导入。围绕高质量建设经十西路汽车产业带精准招商，加快建成品牌集中、整体性强、客流量大的汽车交易集散地。</w:t>
      </w:r>
      <w:r>
        <w:rPr>
          <w:rFonts w:hint="eastAsia" w:ascii="仿宋_GB2312" w:hAnsi="仿宋_GB2312" w:eastAsia="仿宋_GB2312" w:cs="仿宋_GB2312"/>
          <w:sz w:val="32"/>
          <w:szCs w:val="32"/>
        </w:rPr>
        <w:t>着力推动“双碳示范”现代医药物流园区、环球医疗眼科医院总部等项目签约落地、投产达效</w:t>
      </w:r>
      <w:r>
        <w:rPr>
          <w:rFonts w:hint="eastAsia" w:ascii="仿宋_GB2312" w:hAnsi="仿宋_GB2312" w:eastAsia="仿宋_GB2312" w:cs="仿宋_GB2312"/>
          <w:sz w:val="32"/>
          <w:szCs w:val="32"/>
          <w:lang w:eastAsia="zh-CN"/>
        </w:rPr>
        <w:t>。</w:t>
      </w:r>
    </w:p>
    <w:p>
      <w:pPr>
        <w:pStyle w:val="3"/>
        <w:spacing w:after="0"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（四）全面加强黄河流域生态保护，扛牢黄河重大国家战略槐荫担当。</w:t>
      </w:r>
      <w:r>
        <w:rPr>
          <w:rFonts w:hint="eastAsia" w:ascii="仿宋_GB2312" w:hAnsi="仿宋_GB2312" w:eastAsia="仿宋_GB2312" w:cs="仿宋_GB2312"/>
          <w:sz w:val="32"/>
          <w:szCs w:val="32"/>
        </w:rPr>
        <w:t>一是全力保障黄河长久安澜。提高灾害防御能力，提速建设现代水网，补齐防洪减灾短板，提升城市防涝水平，推进腊山河等河道治理工程启动实施。二是深入推进水资源集约节约利用。强化引黄总量管控，加强用水总量和强度“双控”，提高供水保障能力。三是加强生态保护修复。编制《林地保护利用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推进黄河生态风貌带建设</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河湖生态复苏，扎实推进“两清零一提标”工作。四是保护传承弘扬黄河文化。做好公益文化培训、小戏小剧文艺作品创作、槐荫之夏广场文化、戏曲进乡村、非物质文化遗产保护传承、公益电影放映等工作。</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是发挥黄河流域中心城市辐射带动作用。继续做好黄河流域中心城市建设工作，加快推动</w:t>
      </w:r>
      <w:r>
        <w:rPr>
          <w:rFonts w:hint="eastAsia" w:ascii="仿宋_GB2312" w:hAnsi="仿宋_GB2312" w:eastAsia="仿宋_GB2312" w:cs="仿宋_GB2312"/>
          <w:sz w:val="32"/>
          <w:szCs w:val="32"/>
          <w:lang w:val="en-US" w:eastAsia="zh-CN"/>
        </w:rPr>
        <w:t>省会经济圈、</w:t>
      </w:r>
      <w:r>
        <w:rPr>
          <w:rFonts w:hint="eastAsia" w:ascii="仿宋_GB2312" w:hAnsi="仿宋_GB2312" w:eastAsia="仿宋_GB2312" w:cs="仿宋_GB2312"/>
          <w:sz w:val="32"/>
          <w:szCs w:val="32"/>
        </w:rPr>
        <w:t>济南都市圈一体化发展。持续深化“齐鲁之窗”建设，打造“六位一体”宜商服务新生态，推进“一</w:t>
      </w:r>
      <w:r>
        <w:rPr>
          <w:rFonts w:hint="eastAsia" w:ascii="仿宋_GB2312" w:hAnsi="仿宋_GB2312" w:eastAsia="仿宋_GB2312" w:cs="仿宋_GB2312"/>
          <w:sz w:val="32"/>
          <w:szCs w:val="32"/>
          <w:lang w:val="en-US" w:eastAsia="zh-CN"/>
        </w:rPr>
        <w:t>线</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域</w:t>
      </w:r>
      <w:r>
        <w:rPr>
          <w:rFonts w:hint="eastAsia" w:ascii="仿宋_GB2312" w:hAnsi="仿宋_GB2312" w:eastAsia="仿宋_GB2312" w:cs="仿宋_GB2312"/>
          <w:sz w:val="32"/>
          <w:szCs w:val="32"/>
        </w:rPr>
        <w:t>”跨域通办两个全覆盖，建设立足齐鲁、辐射全国的政务服务特区，积极加快融入全国统一大市场。</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是加强资源节约集约循环高效利用，推进循环经济发展，做好能耗双控工作，加快推动节能改造，扩大可再生能源消费，制定符合槐荫实际的碳达峰工作方案，推动能耗“双控”逐步向碳排放“双控”转变。</w:t>
      </w:r>
    </w:p>
    <w:p>
      <w:pPr>
        <w:pStyle w:val="3"/>
        <w:spacing w:after="0" w:line="620" w:lineRule="exact"/>
        <w:ind w:firstLine="640" w:firstLineChars="200"/>
        <w:rPr>
          <w:rFonts w:hint="default" w:ascii="楷体_GB2312" w:hAnsi="楷体_GB2312" w:eastAsia="楷体_GB2312" w:cs="楷体_GB2312"/>
          <w:sz w:val="32"/>
          <w:szCs w:val="32"/>
          <w:lang w:val="en-US"/>
        </w:rPr>
      </w:pPr>
      <w:r>
        <w:rPr>
          <w:rFonts w:hint="eastAsia" w:ascii="楷体_GB2312" w:hAnsi="楷体_GB2312" w:eastAsia="楷体_GB2312" w:cs="楷体_GB2312"/>
          <w:sz w:val="32"/>
          <w:szCs w:val="32"/>
        </w:rPr>
        <w:t>（五）</w:t>
      </w:r>
      <w:r>
        <w:rPr>
          <w:rFonts w:hint="eastAsia" w:ascii="楷体_GB2312" w:hAnsi="楷体_GB2312" w:eastAsia="楷体_GB2312" w:cs="楷体_GB2312"/>
          <w:sz w:val="32"/>
          <w:szCs w:val="32"/>
          <w:lang w:eastAsia="zh-CN"/>
        </w:rPr>
        <w:t>不断催生发展内生动力，跑出乡村振兴加速度。</w:t>
      </w:r>
      <w:r>
        <w:rPr>
          <w:rFonts w:hint="eastAsia" w:ascii="仿宋_GB2312" w:hAnsi="仿宋_GB2312" w:eastAsia="仿宋_GB2312" w:cs="仿宋_GB2312"/>
          <w:sz w:val="32"/>
          <w:szCs w:val="32"/>
          <w:lang w:eastAsia="zh-CN"/>
        </w:rPr>
        <w:t>一是加强生态农业发展。打造2000亩“花间稻”生态农业示范区，创建农林牧渔特色产业聚集区，建设园艺花卉产业</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lang w:eastAsia="zh-CN"/>
        </w:rPr>
        <w:t>生态循环农业示范基地。积极开展农业减排固碳行动，全力推进千亩渔光互补生态农业项目，争创国家级水产健康养殖示范区。二是</w:t>
      </w:r>
      <w:r>
        <w:rPr>
          <w:rFonts w:hint="eastAsia" w:ascii="仿宋_GB2312" w:hAnsi="仿宋_GB2312" w:eastAsia="仿宋_GB2312" w:cs="仿宋_GB2312"/>
          <w:sz w:val="32"/>
          <w:szCs w:val="32"/>
          <w:lang w:val="en-US" w:eastAsia="zh-CN"/>
        </w:rPr>
        <w:t>壮大农业产业规模</w:t>
      </w:r>
      <w:r>
        <w:rPr>
          <w:rFonts w:hint="eastAsia" w:ascii="仿宋_GB2312" w:hAnsi="仿宋_GB2312" w:eastAsia="仿宋_GB2312" w:cs="仿宋_GB2312"/>
          <w:sz w:val="32"/>
          <w:szCs w:val="32"/>
          <w:lang w:eastAsia="zh-CN"/>
        </w:rPr>
        <w:t>。搭建特色农产品产业联盟、产业集群企业联盟，提高集群效能。塑强农业品牌，持续擦亮“槐乡厚礼”区域公用品牌、产业发展人才等品牌。壮大农业新型经营主体阵容，培育1家省级、1-2家市级农业龙头企业，规范提升3个家庭农场，力争规上农产品加工企业继续“双增长”。三是</w:t>
      </w:r>
      <w:r>
        <w:rPr>
          <w:rFonts w:hint="eastAsia" w:ascii="仿宋_GB2312" w:hAnsi="仿宋_GB2312" w:eastAsia="仿宋_GB2312" w:cs="仿宋_GB2312"/>
          <w:sz w:val="32"/>
          <w:szCs w:val="32"/>
          <w:lang w:val="en-US" w:eastAsia="zh-CN"/>
        </w:rPr>
        <w:t>加强和美乡村建设。</w:t>
      </w:r>
      <w:r>
        <w:rPr>
          <w:rFonts w:hint="eastAsia" w:ascii="仿宋_GB2312" w:hAnsi="仿宋_GB2312" w:eastAsia="仿宋_GB2312" w:cs="仿宋_GB2312"/>
          <w:sz w:val="32"/>
          <w:szCs w:val="32"/>
          <w:lang w:eastAsia="zh-CN"/>
        </w:rPr>
        <w:t>扎实推进农村人居环境整治提升行动，持续做好“四好农村路”路面整治、环境提升工程，全力实施弱电入地、村庄道路、村庄立面整治、土地整理、农田水利建设等政府专项债项目。</w:t>
      </w:r>
    </w:p>
    <w:p>
      <w:pPr>
        <w:pStyle w:val="3"/>
        <w:spacing w:after="0" w:line="62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（六）深化城市精细化管理，“绣”出宜居城市画卷。</w:t>
      </w:r>
      <w:r>
        <w:rPr>
          <w:rFonts w:hint="eastAsia" w:ascii="仿宋_GB2312" w:hAnsi="仿宋_GB2312" w:eastAsia="仿宋_GB2312" w:cs="仿宋_GB2312"/>
          <w:sz w:val="32"/>
          <w:szCs w:val="32"/>
        </w:rPr>
        <w:t>一是加快推进城市更新。做好市立五院一期城市更新项目收尾，</w:t>
      </w:r>
      <w:r>
        <w:rPr>
          <w:rFonts w:hint="eastAsia" w:ascii="仿宋_GB2312" w:hAnsi="仿宋_GB2312" w:eastAsia="仿宋_GB2312" w:cs="仿宋_GB2312"/>
          <w:sz w:val="32"/>
          <w:szCs w:val="32"/>
          <w:lang w:val="en-US" w:eastAsia="zh-CN"/>
        </w:rPr>
        <w:t>加快推进</w:t>
      </w:r>
      <w:r>
        <w:rPr>
          <w:rFonts w:hint="eastAsia" w:ascii="仿宋_GB2312" w:hAnsi="仿宋_GB2312" w:eastAsia="仿宋_GB2312" w:cs="仿宋_GB2312"/>
          <w:sz w:val="32"/>
          <w:szCs w:val="32"/>
        </w:rPr>
        <w:t>市立五院城市二期等</w:t>
      </w:r>
      <w:r>
        <w:rPr>
          <w:rFonts w:hint="eastAsia" w:ascii="仿宋_GB2312" w:hAnsi="仿宋_GB2312" w:eastAsia="仿宋_GB2312" w:cs="仿宋_GB2312"/>
          <w:sz w:val="32"/>
          <w:szCs w:val="32"/>
          <w:highlight w:val="none"/>
        </w:rPr>
        <w:t>4个城</w:t>
      </w:r>
      <w:r>
        <w:rPr>
          <w:rFonts w:hint="eastAsia" w:ascii="仿宋_GB2312" w:hAnsi="仿宋_GB2312" w:eastAsia="仿宋_GB2312" w:cs="仿宋_GB2312"/>
          <w:sz w:val="32"/>
          <w:szCs w:val="32"/>
        </w:rPr>
        <w:t>市更新项目，</w:t>
      </w:r>
      <w:r>
        <w:rPr>
          <w:rFonts w:hint="eastAsia" w:ascii="仿宋_GB2312" w:hAnsi="仿宋_GB2312" w:eastAsia="仿宋_GB2312" w:cs="仿宋_GB2312"/>
          <w:sz w:val="32"/>
          <w:szCs w:val="32"/>
          <w:lang w:val="en-US" w:eastAsia="zh-CN"/>
        </w:rPr>
        <w:t>配合市城投集团做好百年商埠历史文化区城市设计整合与城市有机更新工作，积极推动福音里、万紫巷等片区改造提升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加快</w:t>
      </w:r>
      <w:r>
        <w:rPr>
          <w:rFonts w:hint="eastAsia" w:ascii="仿宋_GB2312" w:hAnsi="仿宋_GB2312" w:eastAsia="仿宋_GB2312" w:cs="仿宋_GB2312"/>
          <w:sz w:val="32"/>
          <w:szCs w:val="32"/>
        </w:rPr>
        <w:t>西沙王庄村城中村改造保障房、大杨城中村改造村民保障用房项目开工建设。完成建筑面积260万</w:t>
      </w:r>
      <w:r>
        <w:rPr>
          <w:rFonts w:hint="eastAsia" w:ascii="仿宋_GB2312" w:hAnsi="仿宋_GB2312" w:eastAsia="仿宋_GB2312" w:cs="仿宋_GB2312"/>
          <w:sz w:val="32"/>
          <w:szCs w:val="32"/>
          <w:lang w:eastAsia="zh-CN"/>
        </w:rPr>
        <w:t>平方米</w:t>
      </w:r>
      <w:r>
        <w:rPr>
          <w:rFonts w:hint="eastAsia" w:ascii="仿宋_GB2312" w:hAnsi="仿宋_GB2312" w:eastAsia="仿宋_GB2312" w:cs="仿宋_GB2312"/>
          <w:sz w:val="32"/>
          <w:szCs w:val="32"/>
        </w:rPr>
        <w:t>，惠及2.9万余户居民的老旧小区改造。二是强化城乡基础设施建设。完成中心城区雨污合流管网改造，加快推进城市内涝治理；加快腊山河西路北延工程建设，实施城乡供水一体化工程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三是扎实开展市容市貌综合整治。结合全国文明典范城市创建，突出解决好背街小巷、公共场所、市政设施、城乡接合部等相关问题，全面巩固提升美丽街区、特色街区容貌品质。</w:t>
      </w:r>
    </w:p>
    <w:p>
      <w:pPr>
        <w:pStyle w:val="3"/>
        <w:spacing w:after="0"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lang w:eastAsia="zh-CN"/>
        </w:rPr>
        <w:t>（七）</w:t>
      </w:r>
      <w:r>
        <w:rPr>
          <w:rFonts w:hint="eastAsia" w:ascii="楷体_GB2312" w:hAnsi="楷体_GB2312" w:eastAsia="楷体_GB2312" w:cs="楷体_GB2312"/>
          <w:sz w:val="32"/>
          <w:szCs w:val="32"/>
        </w:rPr>
        <w:t>持续增进民生福祉，提升人民生活品质。</w:t>
      </w:r>
      <w:r>
        <w:rPr>
          <w:rFonts w:hint="eastAsia" w:ascii="仿宋_GB2312" w:hAnsi="仿宋_GB2312" w:eastAsia="仿宋_GB2312" w:cs="仿宋_GB2312"/>
          <w:sz w:val="32"/>
          <w:szCs w:val="32"/>
        </w:rPr>
        <w:t>一是强化资金管理。牢固树立过“紧日子”思想，严控“三公”经费管理和一般性支出，兜牢兜实基层“三保”底线。二是扎实做好稳就业工作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落实稳岗扩岗惠企政策，设立企业用工服务“专员”，助力企业稳岗扩岗，促进重点群体就业，打造“就业友好型城市”品牌。探索设立人力资源社会保障服务站点，拓展零工公寓服务功能，扎实做好“零工公寓”建设“后半篇文章”。三是加大优质教育资源供给。</w:t>
      </w:r>
      <w:r>
        <w:rPr>
          <w:rFonts w:ascii="仿宋_GB2312" w:hAnsi="仿宋_GB2312" w:eastAsia="仿宋_GB2312" w:cs="仿宋_GB2312"/>
          <w:sz w:val="32"/>
          <w:szCs w:val="32"/>
        </w:rPr>
        <w:t>完成医科大学西北角幼儿园等8处配套教育设施建设</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开工建设海信时代城15班幼儿园等3处配套教育设施。</w:t>
      </w:r>
      <w:r>
        <w:rPr>
          <w:rFonts w:hint="eastAsia" w:ascii="仿宋_GB2312" w:hAnsi="仿宋_GB2312" w:eastAsia="仿宋_GB2312" w:cs="仿宋_GB2312"/>
          <w:sz w:val="32"/>
          <w:szCs w:val="32"/>
        </w:rPr>
        <w:t>四是健全多层次社会保障体系。健全灵活就业人员社保制度，完善困难群体参保帮扶政策，扩大失业、工伤、生育保险、基本医疗保险的覆盖面，努力实现应保尽保。优化养老服务多元供给，完善基本养老服务体系。实施“红领医养”项目，扎实推进医养结合服务标准化建设、老年健康与医养结合服务管理项目工作。加强孤困儿童兜底保障，为其健康成长保驾护航。五是高质量推进文体事业发展。深入推进全民阅读，提高农家书屋管理水平和服务效能，提升5-10处基层公共文化服务中心。建设各类体育设施场地20处，改造提升数字智能体育公园1处。六是夯实“基层之治”。创新基层社区治理模式，深化“五社联动”社区治理实践，提升社会治理效能。畅通和规范群众诉求表达、利益协调、权益保障通道，妥善化解信访积案。七是加大保障性住房建设和供给。优化保障性租赁住房认定机制，完善青年住房保障体系，加大对新市民和青年人住房保障支持力度。八是坚决守好安全发展“一排底线”，着力防范化解各领域重大风险，筑牢安全屏障。更好发挥工会、共青团、妇联等人民团体桥梁纽带作用，做好民族宗教、外事侨务、档案、审计、统计、史志、退役军人等</w:t>
      </w:r>
      <w:r>
        <w:rPr>
          <w:rFonts w:hint="eastAsia" w:ascii="仿宋_GB2312" w:hAnsi="仿宋_GB2312" w:eastAsia="仿宋_GB2312" w:cs="仿宋_GB2312"/>
          <w:sz w:val="32"/>
          <w:szCs w:val="32"/>
          <w:lang w:val="en-US" w:eastAsia="zh-CN"/>
        </w:rPr>
        <w:t>各项</w:t>
      </w:r>
      <w:r>
        <w:rPr>
          <w:rFonts w:hint="eastAsia" w:ascii="仿宋_GB2312" w:hAnsi="仿宋_GB2312" w:eastAsia="仿宋_GB2312" w:cs="仿宋_GB2312"/>
          <w:sz w:val="32"/>
          <w:szCs w:val="32"/>
        </w:rPr>
        <w:t>工作。</w:t>
      </w:r>
    </w:p>
    <w:p>
      <w:pPr>
        <w:pStyle w:val="2"/>
        <w:spacing w:line="62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sz w:val="32"/>
          <w:szCs w:val="32"/>
        </w:rPr>
        <w:t>各位代表，新的一年，让我们继续高举中国特色社会主义伟大旗帜，在区委的坚强领导下，在区人大的监督指导和区政协的大力支持下，强基础增优势兴产业聚动能，磨砺以须，倍道而进，奋力谱写新时代美丽槐荫建设新篇章！</w:t>
      </w:r>
    </w:p>
    <w:sectPr>
      <w:footerReference r:id="rId3" w:type="default"/>
      <w:pgSz w:w="11906" w:h="16838"/>
      <w:pgMar w:top="1531" w:right="1531" w:bottom="153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文星标宋">
    <w:panose1 w:val="0201060900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文星黑体">
    <w:panose1 w:val="0201060900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-47625</wp:posOffset>
              </wp:positionV>
              <wp:extent cx="427355" cy="2000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27355"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3.75pt;height:15.75pt;width:33.65pt;mso-position-horizontal:outside;mso-position-horizontal-relative:margin;z-index:251659264;mso-width-relative:page;mso-height-relative:page;" filled="f" stroked="f" coordsize="21600,21600" o:gfxdata="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8Pd1BdUAAAAFAQAADwAAAAAAAAABACAAAAAiAAAAZHJzL2Rvd25yZXYu&#10;eG1sUEsBAhQAFAAAAAgAh07iQJIB8gk3AgAAYQQAAA4AAAAAAAAAAQAgAAAAJAEAAGRycy9lMm9E&#10;b2MueG1sUEsFBgAAAAAGAAYAWQEAAM0FAAAAAA==&#10;">
              <v:fill on="f" focussize="0,0"/>
              <v:stroke on="f" weight="0.5pt"/>
              <v:imagedata o:title=""/>
              <o:lock v:ext="edit" aspectratio="f"/>
              <v:textbox inset="0mm,0mm,0mm,0mm">
                <w:txbxContent>
                  <w:p>
                    <w:pPr>
                      <w:pStyle w:val="4"/>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iZTgzYzc2ZmE4ZjNiZDdlMDMwZTNiM2U0Y2RkMmUifQ=="/>
  </w:docVars>
  <w:rsids>
    <w:rsidRoot w:val="00C4604B"/>
    <w:rsid w:val="00167665"/>
    <w:rsid w:val="004004B9"/>
    <w:rsid w:val="004C5752"/>
    <w:rsid w:val="005926A2"/>
    <w:rsid w:val="00624529"/>
    <w:rsid w:val="00692680"/>
    <w:rsid w:val="006E7AE8"/>
    <w:rsid w:val="009A13B3"/>
    <w:rsid w:val="00A063BB"/>
    <w:rsid w:val="00A67D58"/>
    <w:rsid w:val="00C333F2"/>
    <w:rsid w:val="00C4604B"/>
    <w:rsid w:val="00CB0661"/>
    <w:rsid w:val="00D56954"/>
    <w:rsid w:val="015754F6"/>
    <w:rsid w:val="0186020E"/>
    <w:rsid w:val="01B449E6"/>
    <w:rsid w:val="01EF6E48"/>
    <w:rsid w:val="02C62933"/>
    <w:rsid w:val="0407625A"/>
    <w:rsid w:val="048A1780"/>
    <w:rsid w:val="05E20D60"/>
    <w:rsid w:val="0671283A"/>
    <w:rsid w:val="070F6400"/>
    <w:rsid w:val="084367D4"/>
    <w:rsid w:val="0BD95485"/>
    <w:rsid w:val="0CE16CD5"/>
    <w:rsid w:val="0D1679F8"/>
    <w:rsid w:val="10260F59"/>
    <w:rsid w:val="10664056"/>
    <w:rsid w:val="11A110D5"/>
    <w:rsid w:val="12170653"/>
    <w:rsid w:val="1283439D"/>
    <w:rsid w:val="12D04FE1"/>
    <w:rsid w:val="12EE5516"/>
    <w:rsid w:val="13117218"/>
    <w:rsid w:val="14FD43E8"/>
    <w:rsid w:val="1758540A"/>
    <w:rsid w:val="18567EAF"/>
    <w:rsid w:val="18C42416"/>
    <w:rsid w:val="18D0110D"/>
    <w:rsid w:val="19713606"/>
    <w:rsid w:val="1A116732"/>
    <w:rsid w:val="1A1870BA"/>
    <w:rsid w:val="1A416522"/>
    <w:rsid w:val="1B2D6FD2"/>
    <w:rsid w:val="1B65257F"/>
    <w:rsid w:val="1BD03DAF"/>
    <w:rsid w:val="1DAC6409"/>
    <w:rsid w:val="1EBF1697"/>
    <w:rsid w:val="1F1235C1"/>
    <w:rsid w:val="215A3570"/>
    <w:rsid w:val="224B29C2"/>
    <w:rsid w:val="22616248"/>
    <w:rsid w:val="227855A0"/>
    <w:rsid w:val="231150AD"/>
    <w:rsid w:val="231B0235"/>
    <w:rsid w:val="24DA3A86"/>
    <w:rsid w:val="274837BE"/>
    <w:rsid w:val="274912B9"/>
    <w:rsid w:val="275646BC"/>
    <w:rsid w:val="287F6F5C"/>
    <w:rsid w:val="2920604A"/>
    <w:rsid w:val="2AC417A3"/>
    <w:rsid w:val="2B9920E3"/>
    <w:rsid w:val="2C6C77F8"/>
    <w:rsid w:val="2D8C4CDA"/>
    <w:rsid w:val="2F703FC3"/>
    <w:rsid w:val="306615BD"/>
    <w:rsid w:val="32EA227A"/>
    <w:rsid w:val="32F02F31"/>
    <w:rsid w:val="335E3BDA"/>
    <w:rsid w:val="33772013"/>
    <w:rsid w:val="33FD3B57"/>
    <w:rsid w:val="352B7773"/>
    <w:rsid w:val="36FE6732"/>
    <w:rsid w:val="37475721"/>
    <w:rsid w:val="37B94CD9"/>
    <w:rsid w:val="383A044D"/>
    <w:rsid w:val="38785C44"/>
    <w:rsid w:val="3A8824C5"/>
    <w:rsid w:val="3A995C4A"/>
    <w:rsid w:val="3BB2725D"/>
    <w:rsid w:val="3D354CA8"/>
    <w:rsid w:val="3ECD3A31"/>
    <w:rsid w:val="3EFD610A"/>
    <w:rsid w:val="40A91953"/>
    <w:rsid w:val="41AB5BB6"/>
    <w:rsid w:val="424717F0"/>
    <w:rsid w:val="4290058C"/>
    <w:rsid w:val="42995041"/>
    <w:rsid w:val="44C31474"/>
    <w:rsid w:val="466704B9"/>
    <w:rsid w:val="47321A2D"/>
    <w:rsid w:val="47CC673F"/>
    <w:rsid w:val="482C4FB8"/>
    <w:rsid w:val="482C5B0B"/>
    <w:rsid w:val="489F0596"/>
    <w:rsid w:val="48D52555"/>
    <w:rsid w:val="49BE7E39"/>
    <w:rsid w:val="4A6A42DF"/>
    <w:rsid w:val="4B9C7FB9"/>
    <w:rsid w:val="4C9A6C4F"/>
    <w:rsid w:val="4DD27D5A"/>
    <w:rsid w:val="4EAA1A5B"/>
    <w:rsid w:val="50102C03"/>
    <w:rsid w:val="509F4139"/>
    <w:rsid w:val="50CB4A48"/>
    <w:rsid w:val="51345D4D"/>
    <w:rsid w:val="51BD1827"/>
    <w:rsid w:val="520039D2"/>
    <w:rsid w:val="535B5203"/>
    <w:rsid w:val="539E0D4B"/>
    <w:rsid w:val="53E051BF"/>
    <w:rsid w:val="53FD4516"/>
    <w:rsid w:val="5459040F"/>
    <w:rsid w:val="54CD1014"/>
    <w:rsid w:val="557F21C6"/>
    <w:rsid w:val="55906C93"/>
    <w:rsid w:val="56A56D10"/>
    <w:rsid w:val="590F1BA7"/>
    <w:rsid w:val="5A36306F"/>
    <w:rsid w:val="5A3F1FE5"/>
    <w:rsid w:val="5ABE1223"/>
    <w:rsid w:val="5B326E72"/>
    <w:rsid w:val="5B9E7D89"/>
    <w:rsid w:val="5C74326B"/>
    <w:rsid w:val="5DA4224B"/>
    <w:rsid w:val="5E587D25"/>
    <w:rsid w:val="5ED74BD0"/>
    <w:rsid w:val="5F651C43"/>
    <w:rsid w:val="602E7D30"/>
    <w:rsid w:val="60D10BE7"/>
    <w:rsid w:val="60F670B5"/>
    <w:rsid w:val="621E0DBB"/>
    <w:rsid w:val="624D19B1"/>
    <w:rsid w:val="63BA6ABF"/>
    <w:rsid w:val="64315FFB"/>
    <w:rsid w:val="64B22973"/>
    <w:rsid w:val="652C4F8E"/>
    <w:rsid w:val="68120C78"/>
    <w:rsid w:val="68C45B45"/>
    <w:rsid w:val="698060B5"/>
    <w:rsid w:val="69831E62"/>
    <w:rsid w:val="6A270365"/>
    <w:rsid w:val="6A994872"/>
    <w:rsid w:val="6B5024D1"/>
    <w:rsid w:val="6C2F653E"/>
    <w:rsid w:val="6D006602"/>
    <w:rsid w:val="6FDC4D47"/>
    <w:rsid w:val="70C15BD7"/>
    <w:rsid w:val="7182313C"/>
    <w:rsid w:val="71A553A6"/>
    <w:rsid w:val="71F80EDE"/>
    <w:rsid w:val="729D3E84"/>
    <w:rsid w:val="73B87563"/>
    <w:rsid w:val="73F1753B"/>
    <w:rsid w:val="7458710E"/>
    <w:rsid w:val="74A0760B"/>
    <w:rsid w:val="756C1146"/>
    <w:rsid w:val="75B907DE"/>
    <w:rsid w:val="75CC72F1"/>
    <w:rsid w:val="77D372DC"/>
    <w:rsid w:val="77E86C88"/>
    <w:rsid w:val="792B47E3"/>
    <w:rsid w:val="796F2565"/>
    <w:rsid w:val="797777F3"/>
    <w:rsid w:val="79BC6C95"/>
    <w:rsid w:val="7CE85CFD"/>
    <w:rsid w:val="7DBE0C79"/>
    <w:rsid w:val="7E137AE8"/>
    <w:rsid w:val="7E7A11FF"/>
    <w:rsid w:val="7E91534F"/>
    <w:rsid w:val="7F750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 w:hAnsi="???????" w:eastAsia="宋体" w:cs="???????"/>
      <w:color w:val="000000"/>
      <w:sz w:val="24"/>
      <w:szCs w:val="24"/>
      <w:lang w:val="en-US" w:eastAsia="zh-CN" w:bidi="ar-SA"/>
    </w:rPr>
  </w:style>
  <w:style w:type="paragraph" w:styleId="3">
    <w:name w:val="Body Text"/>
    <w:unhideWhenUsed/>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ylmfeng.com</Company>
  <Pages>16</Pages>
  <Words>1381</Words>
  <Characters>7873</Characters>
  <Lines>65</Lines>
  <Paragraphs>18</Paragraphs>
  <TotalTime>1</TotalTime>
  <ScaleCrop>false</ScaleCrop>
  <LinksUpToDate>false</LinksUpToDate>
  <CharactersWithSpaces>9236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2023-12-05T02:19:00Z</dcterms:created>
  <dc:creator>Administrator</dc:creator>
  <cp:lastModifiedBy>0℃</cp:lastModifiedBy>
  <cp:lastPrinted>2024-01-11T00:36:00Z</cp:lastPrinted>
  <dcterms:modified xsi:type="dcterms:W3CDTF">2024-01-13T04:12:20Z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6EC26738A332483DBE619D14B6BC4485_13</vt:lpwstr>
  </property>
</Properties>
</file>